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Аспекты урока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519"/>
        <w:gridCol w:w="7016"/>
      </w:tblGrid>
      <w:tr w:rsidR="00C50D65" w:rsidRPr="00C50D65" w:rsidTr="006707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ключевых языковых компетенций на уроке английского языка.</w:t>
            </w:r>
          </w:p>
        </w:tc>
      </w:tr>
      <w:tr w:rsidR="00C50D65" w:rsidRPr="00C50D65" w:rsidTr="006707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Задачи урока: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Практическая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Практиковать в чтении буквосочетаний 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ar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ir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or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ea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ee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wh</w:t>
            </w: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читать буквосочетание 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ay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50D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ey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Совершенствовать умения  письменной речи на основе лексики  числительные, предметы обихода.</w:t>
            </w: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- Повторить счет в пределах 100.</w:t>
            </w: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учить читать текст, построенный на знакомом языковом материале, и полностью понимать смысл </w:t>
            </w:r>
            <w:proofErr w:type="gramStart"/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умения  устной речи: составлять монологические высказывания о друге.</w:t>
            </w: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- Учить вести диалог этикетного характера, используя: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When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Where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Why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How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Образовательная</w:t>
            </w:r>
            <w:proofErr w:type="gramEnd"/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– активизировать и совершенствовать актуальный словарный запас обучающихся.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Воспитательные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– развивать настойчивость и умение преодолевать трудности для достижения намеченной цели;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– активизировать познавательную инициативу обучающихся и формировать их социальную компетентность.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Развивающие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– формировать и развивать учебно-организационные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умения  (взаимоконтроль, самостоятельная работа, коллективная деятельность);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– развивать способность к рефлексии, как важнейшей составляющей умения учиться.  </w:t>
            </w:r>
          </w:p>
        </w:tc>
      </w:tr>
      <w:tr w:rsidR="00C50D65" w:rsidRPr="00C50D65" w:rsidTr="006707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Тип урока: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с использованием электронно-образовательных ресурсов.</w:t>
            </w:r>
          </w:p>
        </w:tc>
      </w:tr>
      <w:tr w:rsidR="00C50D65" w:rsidRPr="00C50D65" w:rsidTr="006707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УУД:</w:t>
            </w: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D65" w:rsidRPr="00C50D65" w:rsidRDefault="00C50D65" w:rsidP="00C50D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Метапредметные результаты:</w:t>
            </w:r>
          </w:p>
          <w:p w:rsidR="00C50D65" w:rsidRPr="00C50D65" w:rsidRDefault="00C50D65" w:rsidP="00C50D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65" w:rsidRPr="00C50D65" w:rsidRDefault="00C50D65" w:rsidP="00C50D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65" w:rsidRPr="00C50D65" w:rsidRDefault="00C50D65" w:rsidP="00C50D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65" w:rsidRPr="00C50D65" w:rsidRDefault="00C50D65" w:rsidP="00C50D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65" w:rsidRPr="00C50D65" w:rsidRDefault="00C50D65" w:rsidP="00C50D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65" w:rsidRPr="00C50D65" w:rsidRDefault="00C50D65" w:rsidP="00C50D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65" w:rsidRPr="00C50D65" w:rsidRDefault="00C50D65" w:rsidP="00C50D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 результаты: </w:t>
            </w:r>
          </w:p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Личностные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– формирование познавательных мотивов обучающихся;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– развитие мысленного воспроизведения ситуации.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Регулятивные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– планирование алгоритма построения монологического высказывания</w:t>
            </w:r>
            <w:proofErr w:type="gramStart"/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– владение навыками самоанализа и самооценки своей деятельности.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Коммуникативные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– продуктивное взаимодействие обучающихся в решении поставленной задачи;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– участие в небольших устных высказываниях, «удерживая» логику повествования; 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Познавательные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– импровизация, высказывание предположений, обсуждение проблемных вопросов;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– комплексный анализ приобретенных знаний на уроке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Регулятивны</w:t>
            </w: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C50D65" w:rsidRPr="00C50D65" w:rsidRDefault="00C50D65" w:rsidP="00C50D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управление своей деятельностью; </w:t>
            </w:r>
          </w:p>
          <w:p w:rsidR="00C50D65" w:rsidRPr="00C50D65" w:rsidRDefault="00C50D65" w:rsidP="00C50D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контроль и коррекция; </w:t>
            </w:r>
          </w:p>
          <w:p w:rsidR="00C50D65" w:rsidRPr="00C50D65" w:rsidRDefault="00C50D65" w:rsidP="00C50D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инициативность и самостоятельность</w:t>
            </w:r>
          </w:p>
          <w:p w:rsidR="00C50D65" w:rsidRPr="00C50D65" w:rsidRDefault="00C50D65" w:rsidP="00C50D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C50D65" w:rsidRPr="00C50D65" w:rsidRDefault="00C50D65" w:rsidP="00C50D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речевая деятельность;</w:t>
            </w:r>
          </w:p>
          <w:p w:rsidR="00C50D65" w:rsidRPr="00C50D65" w:rsidRDefault="00C50D65" w:rsidP="00C50D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- навыки сотрудничества</w:t>
            </w:r>
          </w:p>
          <w:p w:rsidR="00C50D65" w:rsidRPr="00C50D65" w:rsidRDefault="00C50D65" w:rsidP="00C50D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C50D65" w:rsidRPr="00C50D65" w:rsidRDefault="00C50D65" w:rsidP="00C50D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работа с учебными моделями; </w:t>
            </w:r>
          </w:p>
          <w:p w:rsidR="00C50D65" w:rsidRPr="00C50D65" w:rsidRDefault="00C50D65" w:rsidP="00C50D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</w:t>
            </w: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 сфере коммуникативной компетенции: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- языковые представления и навыки (фонетические, орфографические, лексические и грамматические);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говорение (элементарный диалог этикетного характера); 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- аудирование (понимание на слух речи учителя и других учащихся);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чтение (воспринимать с пониманием текст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письмо (соблюдение орфографических правил, опора на образец, подписи под предметами);   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социокультурная осведомлённость (англоговорящие страны, песни, правила вежливости и речевой этикет). 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Б.</w:t>
            </w: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 познавательной сфере:  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элементарных системных языковых представлений об изучаемом языке (</w:t>
            </w:r>
            <w:proofErr w:type="gramStart"/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звуко-буквенный</w:t>
            </w:r>
            <w:proofErr w:type="gramEnd"/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состав, слова и словосочетания, утвердительные, вопросительные и отрицательные предложения, порядок слов); 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умение выполнять задания по усвоенному образцу; 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умение использовать учебно-справочный материал в виде словарей  и схем для выполнения заданий разного типа; 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осуществлять самооценку выполненных учебных заданий и подводить итоги усвоенным знаниям. 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В.</w:t>
            </w:r>
            <w:r w:rsidRPr="00C50D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 ценностно-ориентационной сфере: </w:t>
            </w:r>
          </w:p>
          <w:p w:rsidR="00C50D65" w:rsidRPr="00C50D65" w:rsidRDefault="00C50D65" w:rsidP="00C50D6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      </w:r>
          </w:p>
        </w:tc>
      </w:tr>
      <w:tr w:rsidR="00C50D65" w:rsidRPr="00C50D65" w:rsidTr="006707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Форма урока: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C50D65" w:rsidRPr="00C50D65" w:rsidRDefault="00C50D65" w:rsidP="00C50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D65">
              <w:rPr>
                <w:rFonts w:ascii="Times New Roman" w:eastAsia="Calibri" w:hAnsi="Times New Roman" w:cs="Times New Roman"/>
                <w:sz w:val="28"/>
                <w:szCs w:val="28"/>
              </w:rPr>
              <w:t>урок решения практических задач. Фронтальная, индивидуальная, парная  формы работы.</w:t>
            </w:r>
          </w:p>
        </w:tc>
      </w:tr>
    </w:tbl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Этапы учебного занятия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I. Вводная часть </w:t>
      </w:r>
      <w:r w:rsidRPr="00C50D65">
        <w:rPr>
          <w:rFonts w:ascii="Times New Roman" w:eastAsia="Calibri" w:hAnsi="Times New Roman" w:cs="Times New Roman"/>
          <w:i/>
          <w:iCs/>
          <w:sz w:val="28"/>
          <w:szCs w:val="28"/>
        </w:rPr>
        <w:t>(5 мин.)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I.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Организационный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момент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–Good morning boys and girls. 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I’m  glad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see you! How are you 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today ?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C50D65">
        <w:rPr>
          <w:rFonts w:ascii="Times New Roman" w:eastAsia="Calibri" w:hAnsi="Times New Roman" w:cs="Times New Roman"/>
          <w:sz w:val="28"/>
          <w:szCs w:val="28"/>
        </w:rPr>
        <w:t>Ответы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II.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Актуализация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знаний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How many desks are there in the classroom? 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How many children are present at the lesson?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Дети считают парты и учеников.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Well done. And now look at the picture in exercise 1 on page 48 and tell us the numbers of the stars. 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Дети называют номера звезд из упражнения, стр. 48 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</w:rPr>
        <w:t>88, 56, 100, 12, 25, 31, 13, 46, 93, 74, 62, 11)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. Отработка ранее усвоенных понятий.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And now let’s play a bit. I tell you the numbers. You must write them in your exercise books. 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Учитель называет цифры, дети записывают в тетрадях. Проверка – по очереди назвать записанные цифры. 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</w:rPr>
        <w:t>75, 12, 48, 96, 37, 82, 51)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II. Основная часть (</w:t>
      </w:r>
      <w:r w:rsidRPr="00C50D6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решение разных дидактических задач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C50D65">
        <w:rPr>
          <w:rFonts w:ascii="Times New Roman" w:eastAsia="Calibri" w:hAnsi="Times New Roman" w:cs="Times New Roman"/>
          <w:i/>
          <w:iCs/>
          <w:sz w:val="28"/>
          <w:szCs w:val="28"/>
        </w:rPr>
        <w:t>35 мин</w:t>
      </w:r>
      <w:r w:rsidRPr="00C50D6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отивация учения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 see you can count well. But can you read as well as count? Can you write and ask questions? Of course, you can. And today we will practice more.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II.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Постановка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цели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урока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Today at the lesson we will read and discuss a text about a boy and his way to school, we will ask questions. And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we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will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play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bit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. Сегодня на уроке мы, будем учиться задавать вопросы и отвечать на них. Мы будем читать и обсуждать  текст о мальчике и о том, что он делает по дороге в школу, и, конечно, немного поиграем.  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Обобщение и систематизация знаний и умений учащихся читать буквосочетания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ar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ir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or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ea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ee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wh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Look at the blackboard, please. Listen and repeat the words 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 </w:t>
      </w:r>
      <w:r w:rsidRPr="00C50D65">
        <w:rPr>
          <w:rFonts w:ascii="Times New Roman" w:eastAsia="Calibri" w:hAnsi="Times New Roman" w:cs="Times New Roman"/>
          <w:sz w:val="28"/>
          <w:szCs w:val="28"/>
        </w:rPr>
        <w:t>Приложение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).  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На экране изображены слова, дети слушают, повторяют слова. Чтение слов по столбикам. 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. Введение нового буквосочетания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ay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ey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дети  прослушивают и повторяют слова, самостоятельно читают все упражнение, затем выбирается 1 ученик на роль  мистера Гринвуда, который читает и проверяет правильность чтения одноклассников.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2.Выполнение упр. 3 на стр. 48 . На каждую парту учитель раздает слова из упражнения. Задание: распределить слова на 2 групп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звук [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ei</w:t>
      </w:r>
      <w:r w:rsidRPr="00C50D65">
        <w:rPr>
          <w:rFonts w:ascii="Times New Roman" w:eastAsia="Calibri" w:hAnsi="Times New Roman" w:cs="Times New Roman"/>
          <w:sz w:val="28"/>
          <w:szCs w:val="28"/>
        </w:rPr>
        <w:t>],[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C50D65">
        <w:rPr>
          <w:rFonts w:ascii="Times New Roman" w:eastAsia="Calibri" w:hAnsi="Times New Roman" w:cs="Times New Roman"/>
          <w:sz w:val="28"/>
          <w:szCs w:val="28"/>
        </w:rPr>
        <w:t>] ). Правильность выполнения задания проверяет мистер Гринвуд.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. Проверка выполнения домашнего задания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Well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done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Mr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Greenwood</w:t>
      </w:r>
      <w:r w:rsidRPr="00C50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 you like Mr. Greenwood? 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Is he a good teacher?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Thank 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you ,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Mr. Greenwood, you may take your seat. And now I am your teacher again and I want to check your homework. Please open your work books and read exercise 3 on page 30. </w:t>
      </w:r>
      <w:r w:rsidRPr="00C50D65">
        <w:rPr>
          <w:rFonts w:ascii="Times New Roman" w:eastAsia="Calibri" w:hAnsi="Times New Roman" w:cs="Times New Roman"/>
          <w:sz w:val="28"/>
          <w:szCs w:val="28"/>
        </w:rPr>
        <w:t>Дети читают упражнение по 1 предложению по очереди.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. Закрепление и применение знаний и умений.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Выполнение упражнения 2 на стр. 31 в рабочей тетради поможет детям повторить лексику по теме еда, грамматическую конструкцию Настоящее неопределенное время в утвердительной форме.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. Физкультминутка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Дети поют песню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“If you are happy”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VIII.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Обобщение и систематизация знаний и умений.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Предтекстовый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этап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I see that you are happy, but the boy’s teacher is sad. Do you know why? Let’s read and get to know!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Б.Текстовыйэтап. Чтение текста вслух по очереди.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Дети читают текст по абзацам без перевода. Предполагаемый результат: ученики полностью понимают текст с опорой на картинку.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So, why is the boy’s 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teacher  sad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( Because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boy is late and dirty).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В.  Послетекстовый этап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1. Выполнение упражнения 5 на странице 49 направлено на исправление неверной информации согласно тексту. Слайд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Правильные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</w:rPr>
        <w:t>ответы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:  2) My jeans are blue and my shirt is white.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4) In the park I see a green frog.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dog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angry</w:t>
      </w:r>
      <w:r w:rsidRPr="00C50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2. Далее учащимся можно предложить прочитать текст от 3-го лица, написав на доске предварительно инструкцию по замене определенных слов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I →he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→ his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глагол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→ 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</w:rPr>
        <w:t>глагол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+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3. Практика составления вопросов и полных ответов.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What question words do you know? They are: who, why, what, where, when, how.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Stand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up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play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with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me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bit</w:t>
      </w:r>
      <w:r w:rsidRPr="00C50D65">
        <w:rPr>
          <w:rFonts w:ascii="Times New Roman" w:eastAsia="Calibri" w:hAnsi="Times New Roman" w:cs="Times New Roman"/>
          <w:sz w:val="28"/>
          <w:szCs w:val="28"/>
        </w:rPr>
        <w:t>.Дети выходят из-за парт и играют в игру “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Guess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question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words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”.Учитель говорит вопросительное слово, дети изображают его 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why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-пожимают плечами,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when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- смотрят на часы,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who</w:t>
      </w:r>
      <w:r w:rsidRPr="00C50D65">
        <w:rPr>
          <w:rFonts w:ascii="Times New Roman" w:eastAsia="Calibri" w:hAnsi="Times New Roman" w:cs="Times New Roman"/>
          <w:sz w:val="28"/>
          <w:szCs w:val="28"/>
        </w:rPr>
        <w:t>-показывают на себя и т.д.)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Выполнение упражнения 7 на странице 50 требует от ребят правильного составления вопроса и ответа. 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IX.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Практика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устной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 you go to school every day? 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Does your friend go to school every day?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What can happen to you on your way to school?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Детям предлагается составить смешной рассказ 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</w:rPr>
        <w:t>о приключениях  друга по дороге в школу с опорой на картинки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III. Заключительная часть (</w:t>
      </w:r>
      <w:r w:rsidRPr="00C50D65">
        <w:rPr>
          <w:rFonts w:ascii="Times New Roman" w:eastAsia="Calibri" w:hAnsi="Times New Roman" w:cs="Times New Roman"/>
          <w:i/>
          <w:iCs/>
          <w:sz w:val="28"/>
          <w:szCs w:val="28"/>
        </w:rPr>
        <w:t>5 мин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):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. Обобщение и повторение усвоенного материала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ab/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story about your friend is very interesting. Thank you. To sum up, let’s think about what we mustn’t do to make our teachers and parents sad. </w:t>
      </w:r>
      <w:r w:rsidRPr="00C50D65">
        <w:rPr>
          <w:rFonts w:ascii="Times New Roman" w:eastAsia="Calibri" w:hAnsi="Times New Roman" w:cs="Times New Roman"/>
          <w:sz w:val="28"/>
          <w:szCs w:val="28"/>
        </w:rPr>
        <w:t>Молодцы. Давайте же подведем итоги, что нам нельзя делать, чтобы не расстраивать наших учителей и родителей. Учащиеся составляют предложения по схеме на доске. Слайд 2.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We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mustn</w:t>
      </w:r>
      <w:r w:rsidRPr="00C50D65">
        <w:rPr>
          <w:rFonts w:ascii="Times New Roman" w:eastAsia="Calibri" w:hAnsi="Times New Roman" w:cs="Times New Roman"/>
          <w:sz w:val="28"/>
          <w:szCs w:val="28"/>
        </w:rPr>
        <w:t>’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…→        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be late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dirty  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We must…→            be polite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friendly 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II.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Домашнее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Your homework is on the blackboard. Open your diaries and note it, please. 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Упр3стр31</w:t>
      </w:r>
      <w:proofErr w:type="gramStart"/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50D65">
        <w:rPr>
          <w:rFonts w:ascii="Times New Roman" w:eastAsia="Calibri" w:hAnsi="Times New Roman" w:cs="Times New Roman"/>
          <w:sz w:val="28"/>
          <w:szCs w:val="28"/>
        </w:rPr>
        <w:t>Р.Т.)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Упр. 4, стр. 48 (уч.)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III.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Рефлексия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Tell me, please: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Do you like the lesson?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What do you like more?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What don’t you like?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IV. </w:t>
      </w:r>
      <w:r w:rsidRPr="00C50D65">
        <w:rPr>
          <w:rFonts w:ascii="Times New Roman" w:eastAsia="Calibri" w:hAnsi="Times New Roman" w:cs="Times New Roman"/>
          <w:b/>
          <w:bCs/>
          <w:sz w:val="28"/>
          <w:szCs w:val="28"/>
        </w:rPr>
        <w:t>Оценивание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My dear pupils, it’s time to get marks. 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Pr="00C5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>marks</w:t>
      </w:r>
      <w:r w:rsidRPr="00C50D6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50D65" w:rsidRPr="00C50D65" w:rsidRDefault="00C50D65" w:rsidP="00C50D65">
      <w:pPr>
        <w:rPr>
          <w:rFonts w:ascii="Times New Roman" w:eastAsia="Calibri" w:hAnsi="Times New Roman" w:cs="Times New Roman"/>
          <w:sz w:val="28"/>
          <w:szCs w:val="28"/>
        </w:rPr>
      </w:pPr>
      <w:r w:rsidRPr="00C50D65">
        <w:rPr>
          <w:rFonts w:ascii="Times New Roman" w:eastAsia="Calibri" w:hAnsi="Times New Roman" w:cs="Times New Roman"/>
          <w:sz w:val="28"/>
          <w:szCs w:val="28"/>
        </w:rPr>
        <w:t>Дети предполагают, какие оценки они получат за работу на уроке, используя сигнальные знаки с оценками.</w:t>
      </w:r>
    </w:p>
    <w:p w:rsidR="00C50D65" w:rsidRPr="00C50D65" w:rsidRDefault="00C50D65" w:rsidP="00C50D65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0D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Thank you for your work. Give me your diaries to give you marks, please. </w:t>
      </w:r>
    </w:p>
    <w:p w:rsidR="003B5BE8" w:rsidRPr="00C50D65" w:rsidRDefault="003B5BE8" w:rsidP="004549D4">
      <w:pPr>
        <w:rPr>
          <w:lang w:val="en-US"/>
        </w:rPr>
      </w:pPr>
      <w:bookmarkStart w:id="0" w:name="_GoBack"/>
      <w:bookmarkEnd w:id="0"/>
    </w:p>
    <w:sectPr w:rsidR="003B5BE8" w:rsidRPr="00C5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4724"/>
    <w:multiLevelType w:val="hybridMultilevel"/>
    <w:tmpl w:val="0E16B8EC"/>
    <w:lvl w:ilvl="0" w:tplc="9620DD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60"/>
    <w:rsid w:val="00030E21"/>
    <w:rsid w:val="00056CEB"/>
    <w:rsid w:val="001E43A8"/>
    <w:rsid w:val="003B5BE8"/>
    <w:rsid w:val="004549D4"/>
    <w:rsid w:val="00963994"/>
    <w:rsid w:val="00A37230"/>
    <w:rsid w:val="00A84560"/>
    <w:rsid w:val="00C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2014-02-14T13:46:00Z</dcterms:created>
  <dcterms:modified xsi:type="dcterms:W3CDTF">2014-02-14T14:11:00Z</dcterms:modified>
</cp:coreProperties>
</file>