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38" w:rsidRPr="00D62A9E" w:rsidRDefault="00C7689A" w:rsidP="004B6338">
      <w:pPr>
        <w:spacing w:before="12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«</w:t>
      </w:r>
      <w:r w:rsidR="004B6338" w:rsidRPr="00D62A9E">
        <w:rPr>
          <w:b/>
          <w:bCs/>
          <w:sz w:val="32"/>
          <w:szCs w:val="32"/>
        </w:rPr>
        <w:t>Блок</w:t>
      </w:r>
      <w:r w:rsidR="004B6338">
        <w:rPr>
          <w:b/>
          <w:bCs/>
          <w:sz w:val="32"/>
          <w:szCs w:val="32"/>
        </w:rPr>
        <w:t xml:space="preserve"> и Маяковский</w:t>
      </w:r>
      <w:r w:rsidR="004B6338" w:rsidRPr="00D62A9E">
        <w:rPr>
          <w:b/>
          <w:bCs/>
          <w:sz w:val="32"/>
          <w:szCs w:val="32"/>
        </w:rPr>
        <w:t>: поэт и эпоха</w:t>
      </w:r>
      <w:r>
        <w:rPr>
          <w:b/>
          <w:bCs/>
          <w:sz w:val="32"/>
          <w:szCs w:val="32"/>
        </w:rPr>
        <w:t>»</w:t>
      </w:r>
    </w:p>
    <w:bookmarkEnd w:id="0"/>
    <w:p w:rsidR="004B6338" w:rsidRPr="00D62A9E" w:rsidRDefault="004B6338" w:rsidP="004B6338">
      <w:pPr>
        <w:spacing w:before="120"/>
        <w:ind w:firstLine="567"/>
        <w:jc w:val="both"/>
        <w:rPr>
          <w:sz w:val="28"/>
          <w:szCs w:val="28"/>
        </w:rPr>
      </w:pPr>
      <w:r w:rsidRPr="00D62A9E">
        <w:rPr>
          <w:sz w:val="28"/>
          <w:szCs w:val="28"/>
        </w:rPr>
        <w:t>И.Машбиц-Веров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Во главе русской поэзии десятых—двадцатых годов XX века стоят два поэта: Александр Блок и Владимир Маяковский. Оба они умерли молодыми: Блок — сорока лет, Маяковский — тридцати шести. Оба восторженно встретили социалистическую революцию, став без колебаний советскими поэтами в то трудное время, когда многие и многие известные литераторы «ехидничали, злобствовали», уверенные: «в ближайшем будущем наша возьмет, будет «порядок», и все — по-старому» (А.Блок. Соч., т.VI. М.-Л., Гослитиздат, 1960-1963, стр.16,17. В дальнейшем ссылки на это издание даются лишь с указанием тома и страницы).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И все-таки разительно несхожи, а во многом и противоположны художественные индивидуальности, пути и судьбы двух великих поэтов.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Маяковский стал певцом социалистической эпохи. Он, в сущности, с первых же шагов был «воплощением жизни в одном из ее предельных проявлений» (А.Луначарский. Жизнь и смерть."Комсомольская правда", 1930, 20 апреля), вдохновенно утверждал «прекрасную и удивительную» советскую жизнь, в которой творчество стало для него «заводом, вырабатывающим счастье».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Блок, наоборот, воспринимал свой пройденный путь как величайшую трагедию «детей страшных лет России», оценивал прожитую жизнь как «испепеляющие годы» (А.Блок. Соч., т.III, стр. 278).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Разительное несходство двух поэтов невозможно объяснить разницей возрастной, хотя и это имело известное значение. Но ведь и Маяковский, как Блок, в годы юности дышал отравленным воздухом буржуазно-самодержавной России, ведь и он пережил «страшные годы» поражения первой революции, кровавой столыпинской реакции, империалистической войны...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Однако, живя в одной стране и (в решающей мере) в одну и ту же историческую эпоху, оба поэта, вместе с тем, воспитаны как бы в разных мирах.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Маяковский с отроческого возраста был связан с реальной жизнью, с острой социальной борьбой. Его окружали революционно настроенные мать, сестры, их друзья — деятельные революционеры-большевики. И профессионал-революционер И. И. Морчадзе имел все основания сказать еще о периоде 1905—1906 гг: «Семья Маяковских, включая и маленького Володю, была настоящей революционной семьей... В этой семье жили и дышали революцией» (В.Маяковский в воспоминаниях современников. М., Гослитиздат, 1963, стр. 80).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Очень молодым Маяковский читал Маркса, Ленина. «Нет произведения искусства, которым бы я увлекся более, чем «Предисловием» Маркса... Помню отчетливо синенькую ленинскую «Две тактики» (В.Маяковский. Соч., т. I, М., Гослитиздат, 1955-1961, стр. 15, 16). В конце 1907 года он вступил в социал-демократическую партию. Перенес пытку царской тюрьмы. Наконец, Маяковский с юных лет знал тяжелую нужду, которая учила пониманию жизни: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Я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жирных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с детства привык ненавидеть,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всегда себя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за обед продавая...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По-другому рос и воспитывался Блок. С детства его окружали люди глубоко религиозные и чрезвычайно далекие от суровой действительности: мать, тетки, друзья... Жизнь поэта с ранних лет протекала в благоустроенном, стародворянского уклада, поместье Шахматове — по его словам, «угол рая неподалеку от Москвы». Здесь были «золотое детство, елка, дворянское баловство, няня». К тому же Блок очень рано оказался под влиянием мистико-идеалистической философии Вл. Соловьева.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Не удивительно поэтому, что, живя в таком камерном мире и рано увлекшись мистикой, поэт долгое время почти не знал России. О «полном незнании и неумении сообщаться с миром» он пишет в «Автобиографии», характеризуя свои студенческие годы. И, говоря далее о более позднем времени (1907), отмечает: «Долгая замкнутость в самом себе создала отчужденность от людей и мира, но освобождение наступает, надеюсь, хотя и медленно».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В. И. Ленин писал в 1913 году, что в каждой национальной культуре эксплуататорского общества есть две культуры: одна — господствующего класса, другая — противостоящая ей — демократическая и социалистическая. «Есть две нации в каждой современной нации... — учил Ленин. — Есть две национальные культуры в каждой национальной культуре. Есть великорусская культура Пуришкевичей, Гучковых и Струве,— но есть также великорусская культура, характеризуемая именами Чернышевского и Плеханова». И хотя буржуазная культура преобладала до Октября, имея многочисленных н разнообразных идеологов, вплоть до черносотенцев; хотя господствующие классы тратили десятки и сотни миллионов рублей на пропаганду своих идей, а демократическая и социалистическая культура — в чрезвычайно трудных условиях — только завоевывала позиции, — тем не менее именно последняя представляла собой «цвет России», ее гордость, ее будущность. И именно она воспитывала народ в революционном духе.</w:t>
      </w:r>
    </w:p>
    <w:p w:rsidR="004B6338" w:rsidRDefault="004B6338" w:rsidP="004B6338">
      <w:pPr>
        <w:spacing w:before="120"/>
        <w:ind w:firstLine="567"/>
        <w:jc w:val="both"/>
      </w:pPr>
      <w:r w:rsidRPr="0001775C">
        <w:t xml:space="preserve">Блок и Маяковский и были воспитаны этими разными культурами. И если Блок все же «всем сердцем, всем сознанием» приветствовал Великий Октябрь, как еще ранее приветствовал революцию 1905 года, то это свидетельствует лишь о том, что он сумел в известной мере преодолеть воспитавшую его культуру, что он, по сути дела, долгие годы преодолевал ее, все более воспринимая идеи культуры демократической и революционной. И в этом, собственно, и заключается — в широком историческом и социальном плане — суть духовного развития Блока, в этом — разгадка и его поэтического величия. 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Однако друзья и поклонники поэта из числа идеалистов и мистиков создали свою теорию. Блок — утверждают они — был и всю жизнь оставался мистиком, «чистым иноком», неизменным «рыцарем Прекрасной Дамы». «Стихи о Прекрасной Даме» провозглашаются поэтому высшим его достижением. П. Перцов, редактор «Нового пути» (журнала, где Блок дебютировал), писал еще в 1934 году, что для него самым совершенным созданием поэта являются мистические «Стихи о Прекрасной Даме». Марина Цветаева рисовала Блока «ангелом» и мучеником («рваные ризы, крыло в крови»), возносящимся над «окаянной» землей: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Было так ясно на лике его: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Царство мое не от мира сего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Вл. Пяст всерьез уверял: «Никакие материалисты не смогут отрицать, что от Блока исходила трепетность касания иных миров» и т. д.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Жизненная и творческая трагедия Блока, — рассуждают далее эти поклонники поэта, — заключалась в том, что он решился уйти от мистики, «изменить» ей и тем самым «опустошил» себя.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В этом же духе трактуют и сейчас творчество Блока буржуазные зарубежные литературоведы и русская эмигрантская критика.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Ложная теория! Ложная концепция, превращающая большого, эпохального поэта в декадентствующего хлюпика. Сам Блок протестовал против такого понимания его поэзии, ее эволюции. В 1918 году он писал: «До сих пор я встречаюсь иногда с рассуждениями о «превращении» образа Прекрасной Дамы в образы следующих моих книг: Незнакомки, Снежной Маски, России и т. д. Как будто превращение одного образа в другой есть дело простое и естественное... Как будто сущность, обладающая самостоятельным бытием, может превратиться в призрак...»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Разумеется, творчество Блока, как и всякого поэта, в известном смысле едино: это единое при всех изменениях восприятие мира данным поэтом. Есть, стало быть, определенная закономерная связь между образом Прекрасной Дамы (осмысленным в его эволюции) и позднейшими образами Незнакомки, России, Революции, Катьки... Однако каждый из этих образов отражает «самостоятельную сущность», имеет «самостоятельное бытие», соответствуя различным этапам развития художника, отражая различные стороны как его собственной, так и объективной жизни. В конечном же счете единство творчества Блока — это единство при глубочайших противоречиях. И в этом отразилась борьба двух миров, из которых один тянул поэта в прошлое, а другой — к новой жизни и Революции.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И творчество Блока тем и ценно, что это вовсе не история духовного бытия одинокого мистика XX века. Нет, это полная огромного значения, по-своему выражающая эпоху, волнующая повесть о человеке, который долгие годы «испепелялся» господствовавшей культурой умирающего мира, но глубоко почувствовал ее ложь, неустанно вырывался из-под ее губительного влияния. Это — полная широчайшего социального и исторического смысла поэтическая повесть о борьбе двух культур и непобедимой мощи нового, наступающего революционного мира.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Вот почему так называемая «трагедия Блока» — это вовсе не трагедия «падшего ангела», «измена мистике». Это вообще не трагедия «падения». Напротив, это хотя и полная великих мук, испытаний, трудностей, но при всем том — история не падения, а возрождения человека. История перехода из искусственного, келейного и отживающего мира в мир великой борьбы, настоящей жизни, свободы.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Не случайно поэтому в черновых записях одного из центральных произведений Блока о трагедии человека «испепеленной» жизни — в вариантах стихотворения «Рожденные в года глухие» (1913—1914) — мы находим строки иной, по существу оптимистической тональности. По справедливому замечанию В. Орлова, в этом первоначальном тексте стихотворения «яснее раскрывается его тема». Действительно, здесь Блок отчетливо осмысливает свое трагическое восприятие жизни как «роковую пустоту», рожденную «преждевременной старостью», следствие несбывшихся надежд: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Быть может, старость слишком рано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Стучится в наши двери. Пусть.</w:t>
      </w:r>
    </w:p>
    <w:p w:rsidR="004B6338" w:rsidRDefault="004B6338" w:rsidP="004B6338">
      <w:pPr>
        <w:spacing w:before="120"/>
        <w:ind w:firstLine="567"/>
        <w:jc w:val="both"/>
      </w:pPr>
      <w:r w:rsidRPr="0001775C">
        <w:t xml:space="preserve">Нас старят виденные раны, 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Надежд несовершенных грусть.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Здесь Блок говорит о своем поколении не только как о поколении «страшных лет России» и о прожитых годах не только как об «испепеляющих». Есть, оказывается, в этих «страшных годах» и другое — свeтлое, возрождающее начало: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Но мы — мы дети дней свободы,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Мы не забыли ничего ....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Мы все — невольно или вольно —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Свидетели великих лет...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О том, как в творчестве Блока своеобразно и конкретно отразилась борьба двух решающих исторических сил, двух культур, и должна пойти в дальнейшем речь. И здесь мы встречаемся с целым рядом сложнейших проблем.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С одной стороны, борьба двух культур отразилась и в теоретических работах Блока и в его художественном творчестве, а это — при всем их единстве — далеко не тождество: противоречия между творчеством и идейными позициями автора — явление нередкое, и у Блока это особенно остро выражено. А с другой стороны (и это главное), буржуазная культура рассматриваемой эпохи проявлялась чрезвычайно разнообразно. Это был сложный мир различных концепций философии истории, теории государства, эстетики и т. п., часто даже враждовавших друг с другом.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В силу сказанного осмысление творчества Блока на фоне борьбы двух культур требует не только литературно-эстетического исследования.</w:t>
      </w:r>
    </w:p>
    <w:p w:rsidR="004B6338" w:rsidRDefault="004B6338" w:rsidP="004B6338">
      <w:pPr>
        <w:spacing w:before="120"/>
        <w:ind w:firstLine="567"/>
        <w:jc w:val="both"/>
      </w:pPr>
      <w:r w:rsidRPr="0001775C">
        <w:t xml:space="preserve">Мы, однако, естественно затрагивая общие вопросы культуры, непосредственно ставим себе более скромную задачу: определение роли и места Блока в русском символизме. 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Такое ограничение темы целесообразно по ряду причин.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Блок выступил как символист младшего поколения — теург. Он ярче всех художественно воплотил мистическую «Вечную Жену», разделяя теоретические взгляды теургов и активно защищая их еще в 1910 году. В известной мере Блок сохранил отдельные положения философии истории и эстетики теургии до последних лет жизни. Но вместе с тем уже с ранних лет Блок несомненно чувствовал, особенно как художник, ограниченность и порочность этих взглядов, преодолевал их.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А с другой стороны, младосимволизм был непосредственно связан с поэтами старшего поколения, с их эстетикой, художественной практикой. Известно, что Брюсова Блок считал своим учителем (наряду с Вл. Соловьевым).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Поэтому художественное творчество Блока и его теоретические взгляды невозможно осмыслить вне теории и практики всего русского символизма. Здесь начало творчества Блока, отсюда — своеобразие всего его пути. Буржуазную культуру он преодолевал прежде всего в ее специфической символистской, шире — декадентской формации.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И еще по одной причине мы рассматриваем здесь Блока в связи с символизмом.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Советское литературоведение дало немало ценных работ о русской литературе XVIII и XIX веков, литературе древней и советской. Но литература предоктябрьская и особенно символизм остались мало исследованными. Между тем это течение интересно и важно не только как историческое явление. Оно многое объясняет в современном модернизме. Ибо, в сущности, эстетика и практика экзистенциализма, фрейдизма, абстракционизма и т. п. в своих истоках и основных принципах очень во многом связана с русским символизмом. Модернизм оказывается на деле реставрацией очень старых идейно-эстетических концепций.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В широком историческом плане рассматривал и Горький различные формации декадентства в их борьбе с социалистическим реализмом, как борьбу, в конечном счете, противоположных философских концепций мира, противоположных культур.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Он писал одному своему корреспонденту (в связи, в частности, с оценкой творчества С. Клычкова, писателя мистически и мизантропически настроенного): «Можно сказать, что вообще все идеалистические системы мышления — пессимистичны, это будет верно. Но гораздо важнее доказать, что лишь материализм и монизм могут служить источником пафоса, источником героического мироощущения, что лишь на этой почве человек возникает во всем его величии».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Суть мысли Горького в том, что идеализм в любом его выражении обкрадывает, опустошает человека: все лучшее в нем — высокие идеалы, высокие стремления к перестройке мира он относит к «богу», к метафизическим, ирреальным «первоисточникам» или же, наоборот, мизантропически утверждает «необоримую» власть темных «инстинктов». Вот почему даже «оптимистические» концепции идеализма, отраженные в искусстве, оборачиваются в конечном счете пессимистическим недоверием к разуму, к научному знанию, ко всей деятельности человека. И только последовательный материализм восстанавливает личность в ее величайших возможностях, приводит и к искусству, которое «утверждает бытие как деяние, как творчество, цель которого победа человека над силами природы...обработка ее в прекрасное жилище человечества, объединенного в одну семью» (Горький).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О таком же жизнеутверждающем искусстве, побеждающем горе, объединяющем людей, основанном на вере в разум и силы человека, говорил Маяковский. Голос поэта — утверждал он — призыв и деяние во имя того,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Чтоб день, который горем старящ,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не христарадничать, моля,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Чтоб вся на первый крик — «Товарищ!» —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оборачивалась земля.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Сказанным определяется содержание предлагаемого труда. Вначале мы рассматриваем теорию и практику русского символизма: старшего и младшего поколений. При этом отдельные главы посвящаются наиболее крупным представителям этого течения.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На основе рассмотрения теории и практики русского символизма мы переходим к более детальному освещению его социальной сущности, его связи с западной эстетикой и западным символизмом, а также его места в нашей литературе.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При этом — ввиду актуального значения борьбы с западным модернизмом — рассматривается философская основа и практика фрейдизма, экзистенциализма и абстракционизма в их сопоставлении и связи с русским символизмом. Выясняется, таким образом, общий и единый фронт модернизма (шире — декадентства) как философской и эстетической концепции, противостоящей и в наши дни революционно-демократической и тем более социалистической идеологии.</w:t>
      </w:r>
    </w:p>
    <w:p w:rsidR="004B6338" w:rsidRDefault="004B6338" w:rsidP="004B6338">
      <w:pPr>
        <w:spacing w:before="120"/>
        <w:ind w:firstLine="567"/>
        <w:jc w:val="both"/>
      </w:pPr>
      <w:r w:rsidRPr="0001775C">
        <w:t>На указанном общем фоне детально рассматривается творчество Александра Блока как путь поэта, наиболее блистательно преодолевшего модернизм в его русской разновидности (символизм) и тем самым открывшего себе дорогу от келейного искусства к постижению огромного мира, который неимоверно обогатил Блока не только тематически, но и непосредственно в поэтической области.</w:t>
      </w:r>
    </w:p>
    <w:p w:rsidR="004B6338" w:rsidRPr="0001775C" w:rsidRDefault="004B6338" w:rsidP="004B6338">
      <w:pPr>
        <w:spacing w:before="120"/>
        <w:ind w:firstLine="567"/>
        <w:jc w:val="both"/>
      </w:pPr>
      <w:r w:rsidRPr="0001775C">
        <w:t>Путь Блока (как, впрочем, и путь Брюсова) оказывается в высшей степени знаменательным: это великая школа для современных зарубежных художников, так или иначе находящихся еще в орбите модернистских влияний.</w:t>
      </w:r>
    </w:p>
    <w:p w:rsidR="00B42C45" w:rsidRDefault="00B42C45"/>
    <w:sectPr w:rsidR="00B42C45" w:rsidSect="00B42C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338"/>
    <w:rsid w:val="0001775C"/>
    <w:rsid w:val="000B41FC"/>
    <w:rsid w:val="004B6338"/>
    <w:rsid w:val="00616072"/>
    <w:rsid w:val="00B42C45"/>
    <w:rsid w:val="00C7689A"/>
    <w:rsid w:val="00D62A9E"/>
    <w:rsid w:val="00F0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4B63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2300</Words>
  <Characters>13116</Characters>
  <Application>Microsoft Office Word</Application>
  <DocSecurity>0</DocSecurity>
  <Lines>109</Lines>
  <Paragraphs>30</Paragraphs>
  <ScaleCrop>false</ScaleCrop>
  <Company>Home</Company>
  <LinksUpToDate>false</LinksUpToDate>
  <CharactersWithSpaces>15386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Блок и Маяковский: поэт и эпоха</dc:title>
  <dc:subject/>
  <dc:creator>User</dc:creator>
  <cp:keywords/>
  <dc:description/>
  <cp:lastModifiedBy>Пользователь</cp:lastModifiedBy>
  <cp:revision>4</cp:revision>
  <dcterms:created xsi:type="dcterms:W3CDTF">2014-01-25T13:31:00Z</dcterms:created>
  <dcterms:modified xsi:type="dcterms:W3CDTF">2014-12-17T10:28:00Z</dcterms:modified>
</cp:coreProperties>
</file>