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5B" w:rsidRDefault="00F04A5B" w:rsidP="00F04A5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Методическая разработка по литературе</w:t>
      </w:r>
    </w:p>
    <w:p w:rsidR="00F04A5B" w:rsidRPr="00F04A5B" w:rsidRDefault="00F04A5B" w:rsidP="00F04A5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F04A5B" w:rsidRDefault="00F04A5B" w:rsidP="00F04A5B">
      <w:pPr>
        <w:jc w:val="center"/>
        <w:rPr>
          <w:rFonts w:ascii="Times New Roman" w:hAnsi="Times New Roman" w:cs="Times New Roman"/>
          <w:i/>
          <w:iCs/>
          <w:sz w:val="56"/>
          <w:szCs w:val="56"/>
        </w:rPr>
      </w:pPr>
      <w:r w:rsidRPr="00A51938">
        <w:rPr>
          <w:rFonts w:ascii="Times New Roman" w:hAnsi="Times New Roman" w:cs="Times New Roman"/>
          <w:i/>
          <w:iCs/>
          <w:sz w:val="56"/>
          <w:szCs w:val="56"/>
        </w:rPr>
        <w:t>«Медный всадник»</w:t>
      </w:r>
    </w:p>
    <w:p w:rsidR="00F04A5B" w:rsidRPr="00A51938" w:rsidRDefault="00F04A5B" w:rsidP="00F04A5B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i/>
          <w:iCs/>
          <w:sz w:val="56"/>
          <w:szCs w:val="56"/>
        </w:rPr>
        <w:t xml:space="preserve"> А.С.Пушкина</w:t>
      </w:r>
      <w:r w:rsidRPr="00A51938">
        <w:rPr>
          <w:rFonts w:ascii="Times New Roman" w:hAnsi="Times New Roman" w:cs="Times New Roman"/>
          <w:i/>
          <w:iCs/>
          <w:sz w:val="56"/>
          <w:szCs w:val="56"/>
        </w:rPr>
        <w:br/>
      </w:r>
      <w:r w:rsidRPr="00A51938">
        <w:rPr>
          <w:rFonts w:ascii="Times New Roman" w:hAnsi="Times New Roman" w:cs="Times New Roman"/>
          <w:sz w:val="56"/>
          <w:szCs w:val="56"/>
        </w:rPr>
        <w:t>в живописи и скульптуре</w:t>
      </w:r>
    </w:p>
    <w:p w:rsidR="00F04A5B" w:rsidRDefault="00F04A5B" w:rsidP="00F04A5B">
      <w:pPr>
        <w:rPr>
          <w:rFonts w:ascii="Times New Roman" w:hAnsi="Times New Roman" w:cs="Times New Roman"/>
          <w:sz w:val="28"/>
          <w:szCs w:val="28"/>
        </w:rPr>
      </w:pPr>
    </w:p>
    <w:p w:rsidR="00F04A5B" w:rsidRDefault="00F04A5B">
      <w:pPr>
        <w:rPr>
          <w:rFonts w:ascii="Times New Roman" w:hAnsi="Times New Roman" w:cs="Times New Roman"/>
          <w:sz w:val="28"/>
          <w:szCs w:val="28"/>
        </w:rPr>
      </w:pPr>
    </w:p>
    <w:p w:rsidR="00F04A5B" w:rsidRDefault="00F04A5B">
      <w:pPr>
        <w:rPr>
          <w:rFonts w:ascii="Times New Roman" w:hAnsi="Times New Roman" w:cs="Times New Roman"/>
          <w:sz w:val="28"/>
          <w:szCs w:val="28"/>
        </w:rPr>
      </w:pP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1. Показать историко-литературное своеобразие «Медного всадника».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2. Подвести к пониманию основного конфликта поэмы - истории и личности.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3. Воспитание культуры восприятия прекрасного через живопись и скульптуру. </w:t>
      </w: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1. Подчеркнуть в образе Петра его государственную мудрость и патриотизм.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2. Показать значение преобразовательной деятельности Петра в современный период развития общества.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3. Формирование национального самосознания путем расширения знаний о русской классической литературе.</w:t>
      </w: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работы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Поэма «Медный всадник» А.С. Пушкина стала итогом его идейных исканий и открытий. Знаменитый памятник Петру служит Пушкину образом-символом государственной власти. 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Поэма фиксирует и поэтически заостряет "вечную" проблему. Каким бы ни было государство - монархическим, демократическим - в своем земном обличье оно всегда содержит тенденцию к подавлению личности. 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Государство нужно и важно, поскольку только оно способно защитить личность от произвола. Но </w:t>
      </w:r>
      <w:proofErr w:type="gramStart"/>
      <w:r w:rsidRPr="00A51938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A51938">
        <w:rPr>
          <w:rFonts w:ascii="Times New Roman" w:hAnsi="Times New Roman" w:cs="Times New Roman"/>
          <w:sz w:val="28"/>
          <w:szCs w:val="28"/>
        </w:rPr>
        <w:t xml:space="preserve"> же способно и подавлять личность.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 Пушкин считает эту коллизию вечной.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Для поэта важно подчеркнуть в образе Петра его государственную мудрость и патриотизм. Памятник Петру и образ Петра – символ государственной власти, символ движения страны вперед. Петербург был возведен властью Петра ценой огромных жертв, но это было необходимо для решения государственных вопросов. </w:t>
      </w:r>
      <w:proofErr w:type="gramStart"/>
      <w:r w:rsidRPr="00A51938">
        <w:rPr>
          <w:rFonts w:ascii="Times New Roman" w:hAnsi="Times New Roman" w:cs="Times New Roman"/>
          <w:sz w:val="28"/>
          <w:szCs w:val="28"/>
        </w:rPr>
        <w:t>Трагична судьба</w:t>
      </w:r>
      <w:proofErr w:type="gramEnd"/>
      <w:r w:rsidRPr="00A51938">
        <w:rPr>
          <w:rFonts w:ascii="Times New Roman" w:hAnsi="Times New Roman" w:cs="Times New Roman"/>
          <w:sz w:val="28"/>
          <w:szCs w:val="28"/>
        </w:rPr>
        <w:t xml:space="preserve"> Евгения, который стал жертвой стихийного бедствия в городе, являющемся символом могущества страны. Так Пушкин выразил неразрешимый конфликт, противоречие между исторической необходимостью и жизнью живых людей.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193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51938">
        <w:rPr>
          <w:rFonts w:ascii="Times New Roman" w:hAnsi="Times New Roman" w:cs="Times New Roman"/>
          <w:sz w:val="28"/>
          <w:szCs w:val="28"/>
        </w:rPr>
        <w:t xml:space="preserve"> десятилетия ХХ века сделаны рисунки А.Н.Бенуа к «Медному всаднику» - лучшее, что создано за всю историю иллюстрирования Пушкина.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В рисунках А.Н. Бенуа образы «Петербургской повести» А.С.Пушкина как бы окрашены размышлениями и переживаниями человека начала двадцатого столетия.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Художниками и искусствоведами была отмечена современность иллюстраций Бенуа.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Французский скульптор </w:t>
      </w:r>
      <w:proofErr w:type="spellStart"/>
      <w:r w:rsidRPr="00A51938">
        <w:rPr>
          <w:rFonts w:ascii="Times New Roman" w:hAnsi="Times New Roman" w:cs="Times New Roman"/>
          <w:sz w:val="28"/>
          <w:szCs w:val="28"/>
        </w:rPr>
        <w:t>Этьенн</w:t>
      </w:r>
      <w:proofErr w:type="spellEnd"/>
      <w:r w:rsidRPr="00A51938">
        <w:rPr>
          <w:rFonts w:ascii="Times New Roman" w:hAnsi="Times New Roman" w:cs="Times New Roman"/>
          <w:sz w:val="28"/>
          <w:szCs w:val="28"/>
        </w:rPr>
        <w:t xml:space="preserve"> Морис Фальконе  в своих произведениях воплощал эмоционально-лирическую линию европейского классицизма XVIII века.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Всю жизнь Фальконе мечтал о создании монументального произведения, воплотить эту мечту ему удалось в России. По совету Дидро императрица Екатерина II поручила скульптору создание конного памятника Петру I. Эскиз из воска был сделан ещё в Париже, после приезда мастера в Россию. В 1766 году началась работа над гипсовой моделью в величину статуи.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lastRenderedPageBreak/>
        <w:t>Торжественное открытие памятника было приурочено к двадцатилетию царствования Екатерины II 7 августа 1782 года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Поэма «Медный всадник» была написана в Болдине осенью 1833 года.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На основе поэмы А. С. Пушкина российский советский композитор Р. М.Глиэр создал одноименный балет, величественный фрагмент которого, «Гимн </w:t>
      </w:r>
      <w:proofErr w:type="gramStart"/>
      <w:r w:rsidRPr="00A51938">
        <w:rPr>
          <w:rFonts w:ascii="Times New Roman" w:hAnsi="Times New Roman" w:cs="Times New Roman"/>
          <w:sz w:val="28"/>
          <w:szCs w:val="28"/>
        </w:rPr>
        <w:t>Великому городу</w:t>
      </w:r>
      <w:proofErr w:type="gramEnd"/>
      <w:r w:rsidRPr="00A51938">
        <w:rPr>
          <w:rFonts w:ascii="Times New Roman" w:hAnsi="Times New Roman" w:cs="Times New Roman"/>
          <w:sz w:val="28"/>
          <w:szCs w:val="28"/>
        </w:rPr>
        <w:t>», стал гимном Санкт-Петербурга.</w:t>
      </w:r>
    </w:p>
    <w:p w:rsid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Проблемы, поднятые великим поэтом, актуальны и в XXI веке.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67962" w:rsidRPr="001037A7" w:rsidRDefault="00367962" w:rsidP="00367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7A7">
        <w:rPr>
          <w:rFonts w:ascii="Times New Roman" w:hAnsi="Times New Roman" w:cs="Times New Roman"/>
          <w:b/>
          <w:sz w:val="28"/>
          <w:szCs w:val="28"/>
        </w:rPr>
        <w:lastRenderedPageBreak/>
        <w:t>Иллюстрации А.Н. Бенуа к поэме Пушкина "Медный всадник"</w:t>
      </w:r>
    </w:p>
    <w:p w:rsidR="00367962" w:rsidRPr="00367962" w:rsidRDefault="00367962" w:rsidP="00A519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Николаевич Бенуа</w:t>
      </w:r>
      <w:r w:rsidRPr="00367962">
        <w:rPr>
          <w:rFonts w:ascii="Times New Roman" w:hAnsi="Times New Roman" w:cs="Times New Roman"/>
          <w:color w:val="000000" w:themeColor="text1"/>
          <w:sz w:val="28"/>
          <w:szCs w:val="28"/>
        </w:rPr>
        <w:t> (21 апреля (</w:t>
      </w:r>
      <w:hyperlink r:id="rId4" w:tooltip="3 мая" w:history="1">
        <w:r w:rsidRPr="003679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 мая</w:t>
        </w:r>
      </w:hyperlink>
      <w:r w:rsidRPr="00367962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hyperlink r:id="rId5" w:tooltip="1870" w:history="1">
        <w:r w:rsidRPr="003679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1870</w:t>
        </w:r>
      </w:hyperlink>
      <w:r w:rsidRPr="00367962">
        <w:rPr>
          <w:rFonts w:ascii="Times New Roman" w:hAnsi="Times New Roman" w:cs="Times New Roman"/>
          <w:color w:val="000000" w:themeColor="text1"/>
          <w:sz w:val="28"/>
          <w:szCs w:val="28"/>
        </w:rPr>
        <w:t> — </w:t>
      </w:r>
      <w:hyperlink r:id="rId6" w:tooltip="9 февраля" w:history="1">
        <w:r w:rsidRPr="003679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 февраля</w:t>
        </w:r>
      </w:hyperlink>
      <w:r w:rsidRPr="0036796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1960" w:history="1">
        <w:r w:rsidRPr="003679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1960</w:t>
        </w:r>
      </w:hyperlink>
      <w:r w:rsidRPr="00367962">
        <w:rPr>
          <w:rFonts w:ascii="Times New Roman" w:hAnsi="Times New Roman" w:cs="Times New Roman"/>
          <w:color w:val="000000" w:themeColor="text1"/>
          <w:sz w:val="28"/>
          <w:szCs w:val="28"/>
        </w:rPr>
        <w:t>) — русский художник, историк искусства, художественный критик, основатель и главный идеолог объединения «</w:t>
      </w:r>
      <w:hyperlink r:id="rId8" w:tooltip="Мир искусства (организация)" w:history="1">
        <w:r w:rsidRPr="0036796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Мир искусства</w:t>
        </w:r>
      </w:hyperlink>
      <w:r w:rsidRPr="0036796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193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51938">
        <w:rPr>
          <w:rFonts w:ascii="Times New Roman" w:hAnsi="Times New Roman" w:cs="Times New Roman"/>
          <w:sz w:val="28"/>
          <w:szCs w:val="28"/>
        </w:rPr>
        <w:t xml:space="preserve"> десятилетия ХХ века сделаны рисунки Александра Николаевича Бенуа (1870 – 1960) к "Медному всаднику" – лучшее, что создано за всю историю иллюстрирования Пушкина. </w:t>
      </w:r>
      <w:r w:rsidRPr="00A51938">
        <w:rPr>
          <w:rFonts w:ascii="Times New Roman" w:hAnsi="Times New Roman" w:cs="Times New Roman"/>
          <w:sz w:val="28"/>
          <w:szCs w:val="28"/>
        </w:rPr>
        <w:br/>
        <w:t>     Бенуа начал работать над "Медным всадником" в 1903 году. В течение последующих 20 лет им создан цикл рисунков, заставок и концовок.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Первая редакция этих иллюстраций была создана в 1903 году в Риме и Санкт-Петербурге.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В рисунках к «Медному всаднику» тема преследования Всадником маленького человека становится главной. Черный всадник над беглецом – не столько шедевр Фальконе, сколько олицетворение жестокой силы, власти.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     В рисунках А.Н.Бенуа образы «Петербургской повести» А.С.Пушкина окрашены размышлениями и переживаниями человека начала XX столетия.</w:t>
      </w:r>
      <w:r w:rsidRPr="00A51938">
        <w:rPr>
          <w:rFonts w:ascii="Times New Roman" w:hAnsi="Times New Roman" w:cs="Times New Roman"/>
          <w:sz w:val="28"/>
          <w:szCs w:val="28"/>
        </w:rPr>
        <w:br/>
        <w:t xml:space="preserve">     Современность иллюстраций Бенуа была отмечена ценителями искусства в начале ХХ века. </w:t>
      </w: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     Таким образом, знакомство с поэмой А.С.Пушкина «Медный всадник», ее историко-литературным своеобразием, иллюстрациями А.Бенуа к поэме открывают для современного поколения понимание основного конфликта произведения – истории и личности.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     Своеобразие пушкинской поэмы состоит в сложном взаимодействии исторического и легендарно-мифологического смысловых планов. 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     Образ Петра в скульптуре Фальконе и образ Петербурга в поэме «Медный всадник» - взаимоисключающие мифологические концепции, дополняющие друг друга.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      В рисунках А.Н.Бенуа образы «Петербургской повести» как бы окрашены размышлениями и переживаниями человека начала ХХ столетия. Поэтому именно современность иллюстраций Бенуа была отмечена ценителями искусства в ХХ веке. Тревога и беспокойство, </w:t>
      </w:r>
      <w:proofErr w:type="gramStart"/>
      <w:r w:rsidRPr="00A51938">
        <w:rPr>
          <w:rFonts w:ascii="Times New Roman" w:hAnsi="Times New Roman" w:cs="Times New Roman"/>
          <w:sz w:val="28"/>
          <w:szCs w:val="28"/>
        </w:rPr>
        <w:t>охватившие</w:t>
      </w:r>
      <w:proofErr w:type="gramEnd"/>
      <w:r w:rsidRPr="00A51938">
        <w:rPr>
          <w:rFonts w:ascii="Times New Roman" w:hAnsi="Times New Roman" w:cs="Times New Roman"/>
          <w:sz w:val="28"/>
          <w:szCs w:val="28"/>
        </w:rPr>
        <w:t xml:space="preserve"> художника в этот период, превратились в настоящий крик  о судьбе человека в России.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     Новизна впечатлений от соприкосновения с творчеством великого русского поэта А.С.Пушкина присуща и современному поколению. </w:t>
      </w:r>
    </w:p>
    <w:p w:rsidR="00A51938" w:rsidRDefault="00A51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 xml:space="preserve">Бенуа // Энциклопедический словарь Брокгауза и </w:t>
      </w:r>
      <w:proofErr w:type="spellStart"/>
      <w:r w:rsidRPr="00A51938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Pr="00A51938">
        <w:rPr>
          <w:rFonts w:ascii="Times New Roman" w:hAnsi="Times New Roman" w:cs="Times New Roman"/>
          <w:sz w:val="28"/>
          <w:szCs w:val="28"/>
        </w:rPr>
        <w:t>: В 86 томах (82 т. и 4 доп.). — СПб</w:t>
      </w:r>
      <w:proofErr w:type="gramStart"/>
      <w:r w:rsidRPr="00A5193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51938">
        <w:rPr>
          <w:rFonts w:ascii="Times New Roman" w:hAnsi="Times New Roman" w:cs="Times New Roman"/>
          <w:sz w:val="28"/>
          <w:szCs w:val="28"/>
        </w:rPr>
        <w:t>1890—1907.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1938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Pr="00A51938">
        <w:rPr>
          <w:rFonts w:ascii="Times New Roman" w:hAnsi="Times New Roman" w:cs="Times New Roman"/>
          <w:sz w:val="28"/>
          <w:szCs w:val="28"/>
        </w:rPr>
        <w:t xml:space="preserve"> Д. Д. Галдящие «</w:t>
      </w:r>
      <w:proofErr w:type="spellStart"/>
      <w:r w:rsidRPr="00A51938">
        <w:rPr>
          <w:rFonts w:ascii="Times New Roman" w:hAnsi="Times New Roman" w:cs="Times New Roman"/>
          <w:sz w:val="28"/>
          <w:szCs w:val="28"/>
        </w:rPr>
        <w:t>бенуа</w:t>
      </w:r>
      <w:proofErr w:type="spellEnd"/>
      <w:r w:rsidRPr="00A51938">
        <w:rPr>
          <w:rFonts w:ascii="Times New Roman" w:hAnsi="Times New Roman" w:cs="Times New Roman"/>
          <w:sz w:val="28"/>
          <w:szCs w:val="28"/>
        </w:rPr>
        <w:t xml:space="preserve">» и Новое Русское Национальное Искусство (Разговор </w:t>
      </w:r>
      <w:proofErr w:type="gramStart"/>
      <w:r w:rsidRPr="00A519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19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1938">
        <w:rPr>
          <w:rFonts w:ascii="Times New Roman" w:hAnsi="Times New Roman" w:cs="Times New Roman"/>
          <w:sz w:val="28"/>
          <w:szCs w:val="28"/>
        </w:rPr>
        <w:t>Бурлюка</w:t>
      </w:r>
      <w:proofErr w:type="spellEnd"/>
      <w:r w:rsidRPr="00A51938">
        <w:rPr>
          <w:rFonts w:ascii="Times New Roman" w:hAnsi="Times New Roman" w:cs="Times New Roman"/>
          <w:sz w:val="28"/>
          <w:szCs w:val="28"/>
        </w:rPr>
        <w:t>, г. Бенуа и г. Репина об искусстве); Н. Д. Б. [</w:t>
      </w:r>
      <w:proofErr w:type="spellStart"/>
      <w:r w:rsidRPr="00A51938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Pr="00A51938">
        <w:rPr>
          <w:rFonts w:ascii="Times New Roman" w:hAnsi="Times New Roman" w:cs="Times New Roman"/>
          <w:sz w:val="28"/>
          <w:szCs w:val="28"/>
        </w:rPr>
        <w:t xml:space="preserve"> Н. Д.] О пародии и о подражании. СПб.: Книгопечатня Шмидт, 1913. 22 </w:t>
      </w:r>
      <w:proofErr w:type="gramStart"/>
      <w:r w:rsidRPr="00A519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1938">
        <w:rPr>
          <w:rFonts w:ascii="Times New Roman" w:hAnsi="Times New Roman" w:cs="Times New Roman"/>
          <w:sz w:val="28"/>
          <w:szCs w:val="28"/>
        </w:rPr>
        <w:t>.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Эрнст С., А. Бенуа, П., 1921;</w:t>
      </w:r>
    </w:p>
    <w:p w:rsidR="00A51938" w:rsidRPr="00A51938" w:rsidRDefault="00A51938" w:rsidP="00A51938">
      <w:pPr>
        <w:rPr>
          <w:rFonts w:ascii="Times New Roman" w:hAnsi="Times New Roman" w:cs="Times New Roman"/>
          <w:sz w:val="28"/>
          <w:szCs w:val="28"/>
        </w:rPr>
      </w:pPr>
      <w:r w:rsidRPr="00A51938">
        <w:rPr>
          <w:rFonts w:ascii="Times New Roman" w:hAnsi="Times New Roman" w:cs="Times New Roman"/>
          <w:sz w:val="28"/>
          <w:szCs w:val="28"/>
        </w:rPr>
        <w:t>Эткинд М., А. Н. Бенуа, Л.- М., 1965.</w:t>
      </w:r>
    </w:p>
    <w:p w:rsidR="00367962" w:rsidRDefault="0036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938" w:rsidRDefault="00367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tbl>
      <w:tblPr>
        <w:tblW w:w="49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67962" w:rsidRPr="000C413A" w:rsidTr="00565C1D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962" w:rsidRPr="000C413A" w:rsidRDefault="00367962" w:rsidP="00565C1D">
            <w:r w:rsidRPr="000C413A">
              <w:rPr>
                <w:noProof/>
                <w:lang w:eastAsia="ru-RU"/>
              </w:rPr>
              <w:drawing>
                <wp:inline distT="0" distB="0" distL="0" distR="0">
                  <wp:extent cx="3429000" cy="3971925"/>
                  <wp:effectExtent l="19050" t="0" r="0" b="0"/>
                  <wp:docPr id="24" name="Рисунок 1" descr="http://literatura5.narod.ru/benua-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teratura5.narod.ru/benua-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962" w:rsidRPr="000C413A" w:rsidRDefault="00367962" w:rsidP="00565C1D">
            <w:r w:rsidRPr="000C413A">
              <w:rPr>
                <w:noProof/>
                <w:lang w:eastAsia="ru-RU"/>
              </w:rPr>
              <w:drawing>
                <wp:inline distT="0" distB="0" distL="0" distR="0">
                  <wp:extent cx="3429000" cy="3971925"/>
                  <wp:effectExtent l="19050" t="0" r="0" b="0"/>
                  <wp:docPr id="25" name="Рисунок 2" descr="http://literatura5.narod.ru/benua-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teratura5.narod.ru/benua-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962" w:rsidRPr="000C413A" w:rsidTr="00565C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3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03"/>
            </w:tblGrid>
            <w:tr w:rsidR="00367962" w:rsidRPr="000C413A" w:rsidTr="00565C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7962" w:rsidRPr="000C413A" w:rsidRDefault="00367962" w:rsidP="00565C1D">
                  <w:r w:rsidRPr="000C413A">
                    <w:t>Ужасный день! Нева всю ночь </w:t>
                  </w:r>
                  <w:r w:rsidRPr="000C413A">
                    <w:br/>
                  </w:r>
                  <w:proofErr w:type="spellStart"/>
                  <w:r w:rsidRPr="000C413A">
                    <w:t>Рвалася</w:t>
                  </w:r>
                  <w:proofErr w:type="spellEnd"/>
                  <w:r w:rsidRPr="000C413A">
                    <w:t xml:space="preserve"> к морю против бури...</w:t>
                  </w:r>
                </w:p>
              </w:tc>
            </w:tr>
          </w:tbl>
          <w:p w:rsidR="00367962" w:rsidRPr="000C413A" w:rsidRDefault="00367962" w:rsidP="00565C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3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58"/>
            </w:tblGrid>
            <w:tr w:rsidR="00367962" w:rsidRPr="000C413A" w:rsidTr="00565C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7962" w:rsidRPr="000C413A" w:rsidRDefault="00367962" w:rsidP="00565C1D">
                  <w:r w:rsidRPr="000C413A">
                    <w:t xml:space="preserve">И всплыл </w:t>
                  </w:r>
                  <w:proofErr w:type="spellStart"/>
                  <w:r w:rsidRPr="000C413A">
                    <w:t>Петрополь</w:t>
                  </w:r>
                  <w:proofErr w:type="spellEnd"/>
                  <w:r w:rsidRPr="000C413A">
                    <w:t>, как тритон,</w:t>
                  </w:r>
                  <w:r w:rsidRPr="000C413A">
                    <w:br/>
                    <w:t>По пояс в воду погружен...</w:t>
                  </w:r>
                </w:p>
              </w:tc>
            </w:tr>
          </w:tbl>
          <w:p w:rsidR="00367962" w:rsidRPr="000C413A" w:rsidRDefault="00367962" w:rsidP="00565C1D"/>
        </w:tc>
      </w:tr>
      <w:tr w:rsidR="00367962" w:rsidRPr="000C413A" w:rsidTr="00565C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962" w:rsidRPr="000C413A" w:rsidRDefault="00367962" w:rsidP="00565C1D">
            <w:r w:rsidRPr="000C413A">
              <w:rPr>
                <w:noProof/>
                <w:lang w:eastAsia="ru-RU"/>
              </w:rPr>
              <w:drawing>
                <wp:inline distT="0" distB="0" distL="0" distR="0">
                  <wp:extent cx="4238625" cy="2790825"/>
                  <wp:effectExtent l="19050" t="0" r="9525" b="0"/>
                  <wp:docPr id="26" name="Рисунок 3" descr="http://literatura5.narod.ru/benua-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teratura5.narod.ru/benua-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62" w:rsidRPr="000C413A" w:rsidRDefault="00367962" w:rsidP="00565C1D">
            <w:r w:rsidRPr="000C413A">
              <w:rPr>
                <w:noProof/>
                <w:lang w:eastAsia="ru-RU"/>
              </w:rPr>
              <w:drawing>
                <wp:inline distT="0" distB="0" distL="0" distR="0">
                  <wp:extent cx="4238625" cy="2790825"/>
                  <wp:effectExtent l="19050" t="0" r="9525" b="0"/>
                  <wp:docPr id="27" name="Рисунок 4" descr="http://literatura5.narod.ru/benua-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teratura5.narod.ru/benua-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962" w:rsidRPr="000C413A" w:rsidTr="00565C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2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7"/>
            </w:tblGrid>
            <w:tr w:rsidR="00367962" w:rsidRPr="000C413A" w:rsidTr="00565C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7962" w:rsidRPr="000C413A" w:rsidRDefault="00367962" w:rsidP="00565C1D">
                  <w:r w:rsidRPr="000C413A">
                    <w:t>На звере мраморном верхом, </w:t>
                  </w:r>
                  <w:r w:rsidRPr="000C413A">
                    <w:br/>
                    <w:t xml:space="preserve">Без шляпы, руки сжав </w:t>
                  </w:r>
                  <w:r w:rsidRPr="000C413A">
                    <w:lastRenderedPageBreak/>
                    <w:t>крестом...</w:t>
                  </w:r>
                </w:p>
              </w:tc>
            </w:tr>
          </w:tbl>
          <w:p w:rsidR="00367962" w:rsidRPr="000C413A" w:rsidRDefault="00367962" w:rsidP="00565C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2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</w:tblGrid>
            <w:tr w:rsidR="00367962" w:rsidRPr="000C413A" w:rsidTr="00565C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7962" w:rsidRPr="000C413A" w:rsidRDefault="00367962" w:rsidP="00565C1D">
                  <w:r w:rsidRPr="000C413A">
                    <w:lastRenderedPageBreak/>
                    <w:t>Вода сбыла, и мостовая</w:t>
                  </w:r>
                  <w:proofErr w:type="gramStart"/>
                  <w:r w:rsidRPr="000C413A">
                    <w:t> </w:t>
                  </w:r>
                  <w:r w:rsidRPr="000C413A">
                    <w:br/>
                    <w:t>О</w:t>
                  </w:r>
                  <w:proofErr w:type="gramEnd"/>
                  <w:r w:rsidRPr="000C413A">
                    <w:t>ткрылась, и Евгений мой...</w:t>
                  </w:r>
                </w:p>
              </w:tc>
            </w:tr>
          </w:tbl>
          <w:p w:rsidR="00367962" w:rsidRPr="000C413A" w:rsidRDefault="00367962" w:rsidP="00565C1D"/>
        </w:tc>
      </w:tr>
      <w:tr w:rsidR="00367962" w:rsidRPr="000C413A" w:rsidTr="00565C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7962" w:rsidRPr="000C413A" w:rsidRDefault="00367962" w:rsidP="00565C1D">
            <w:r w:rsidRPr="000C413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38625" cy="3209925"/>
                  <wp:effectExtent l="19050" t="0" r="9525" b="0"/>
                  <wp:docPr id="28" name="Рисунок 5" descr="http://literatura5.narod.ru/benua-p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teratura5.narod.ru/benua-p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962" w:rsidRPr="000C413A" w:rsidRDefault="00367962" w:rsidP="00565C1D">
            <w:r w:rsidRPr="000C413A">
              <w:rPr>
                <w:noProof/>
                <w:lang w:eastAsia="ru-RU"/>
              </w:rPr>
              <w:drawing>
                <wp:inline distT="0" distB="0" distL="0" distR="0">
                  <wp:extent cx="4238625" cy="3209925"/>
                  <wp:effectExtent l="19050" t="0" r="9525" b="0"/>
                  <wp:docPr id="29" name="Рисунок 6" descr="http://literatura5.narod.ru/benua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teratura5.narod.ru/benua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962" w:rsidRPr="000C413A" w:rsidTr="00565C1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2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7"/>
            </w:tblGrid>
            <w:tr w:rsidR="00367962" w:rsidRPr="000C413A" w:rsidTr="00565C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7962" w:rsidRPr="000C413A" w:rsidRDefault="00367962" w:rsidP="00565C1D">
                  <w:r w:rsidRPr="000C413A">
                    <w:t>И он по площади пустой</w:t>
                  </w:r>
                  <w:proofErr w:type="gramStart"/>
                  <w:r w:rsidRPr="000C413A">
                    <w:br/>
                    <w:t>Б</w:t>
                  </w:r>
                  <w:proofErr w:type="gramEnd"/>
                  <w:r w:rsidRPr="000C413A">
                    <w:t>ежит и слышит за собой...</w:t>
                  </w:r>
                </w:p>
              </w:tc>
            </w:tr>
          </w:tbl>
          <w:p w:rsidR="00367962" w:rsidRPr="000C413A" w:rsidRDefault="00367962" w:rsidP="00565C1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1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72"/>
            </w:tblGrid>
            <w:tr w:rsidR="00367962" w:rsidRPr="000C413A" w:rsidTr="00565C1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67962" w:rsidRPr="000C413A" w:rsidRDefault="00367962" w:rsidP="00565C1D">
                  <w:r w:rsidRPr="000C413A">
                    <w:t>И с той поры, когда случалось</w:t>
                  </w:r>
                  <w:proofErr w:type="gramStart"/>
                  <w:r w:rsidRPr="000C413A">
                    <w:t> </w:t>
                  </w:r>
                  <w:r w:rsidRPr="000C413A">
                    <w:br/>
                    <w:t>И</w:t>
                  </w:r>
                  <w:proofErr w:type="gramEnd"/>
                  <w:r w:rsidRPr="000C413A">
                    <w:t>дти той площадью ему...</w:t>
                  </w:r>
                </w:p>
              </w:tc>
            </w:tr>
          </w:tbl>
          <w:p w:rsidR="00367962" w:rsidRPr="000C413A" w:rsidRDefault="00367962" w:rsidP="00565C1D"/>
        </w:tc>
      </w:tr>
    </w:tbl>
    <w:p w:rsidR="00367962" w:rsidRPr="00A51938" w:rsidRDefault="00367962">
      <w:pPr>
        <w:rPr>
          <w:rFonts w:ascii="Times New Roman" w:hAnsi="Times New Roman" w:cs="Times New Roman"/>
          <w:sz w:val="28"/>
          <w:szCs w:val="28"/>
        </w:rPr>
      </w:pPr>
    </w:p>
    <w:sectPr w:rsidR="00367962" w:rsidRPr="00A51938" w:rsidSect="00C9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938"/>
    <w:rsid w:val="00367962"/>
    <w:rsid w:val="00542AE0"/>
    <w:rsid w:val="00A51938"/>
    <w:rsid w:val="00C93D21"/>
    <w:rsid w:val="00F0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9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0_%D0%B8%D1%81%D0%BA%D1%83%D1%81%D1%81%D1%82%D0%B2%D0%B0_(%D0%BE%D1%80%D0%B3%D0%B0%D0%BD%D0%B8%D0%B7%D0%B0%D1%86%D0%B8%D1%8F)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1960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9_%D1%84%D0%B5%D0%B2%D1%80%D0%B0%D0%BB%D1%8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ru.wikipedia.org/wiki/187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://ru.wikipedia.org/wiki/3_%D0%BC%D0%B0%D1%8F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2013-03-13T04:08:00Z</dcterms:created>
  <dcterms:modified xsi:type="dcterms:W3CDTF">2013-03-13T04:08:00Z</dcterms:modified>
</cp:coreProperties>
</file>