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3" w:rsidRPr="00557A71" w:rsidRDefault="00A00F93" w:rsidP="00A00F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557A71">
        <w:rPr>
          <w:rFonts w:ascii="Arial" w:eastAsia="Times New Roman" w:hAnsi="Arial" w:cs="Arial"/>
          <w:b/>
          <w:bCs/>
          <w:sz w:val="18"/>
          <w:szCs w:val="18"/>
        </w:rPr>
        <w:t xml:space="preserve">ЕДИНЫЙ ГОСУДАРСТВЕННЫЙ ЭКЗАМЕН ПО ЛИТЕРАТУРЕ </w:t>
      </w:r>
    </w:p>
    <w:p w:rsidR="00A00F93" w:rsidRPr="00557A71" w:rsidRDefault="00A00F93" w:rsidP="00194C5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15"/>
          <w:szCs w:val="15"/>
        </w:rPr>
      </w:pPr>
      <w:r w:rsidRPr="00557A71">
        <w:rPr>
          <w:rFonts w:ascii="Arial" w:eastAsia="Times New Roman" w:hAnsi="Arial" w:cs="Arial"/>
          <w:b/>
          <w:bCs/>
          <w:sz w:val="18"/>
          <w:szCs w:val="18"/>
        </w:rPr>
        <w:t xml:space="preserve">ЗАДАНИЯ С2 И С4 </w:t>
      </w:r>
    </w:p>
    <w:p w:rsidR="00A00F93" w:rsidRPr="00A00F93" w:rsidRDefault="00A00F93" w:rsidP="00A00F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7A71">
        <w:rPr>
          <w:rFonts w:ascii="Tahoma" w:eastAsia="Times New Roman" w:hAnsi="Tahoma" w:cs="Tahoma"/>
          <w:b/>
          <w:color w:val="000000"/>
          <w:sz w:val="18"/>
          <w:szCs w:val="18"/>
        </w:rPr>
        <w:t>В заданиях С2 и С4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требуется написать развернутый ответ на вопрос о связи прозаического фрагмента или предложенного стихотворного текста с произведениями других русских писателей и поэтов. </w:t>
      </w:r>
    </w:p>
    <w:p w:rsidR="00A00F93" w:rsidRPr="00A00F93" w:rsidRDefault="00A00F93" w:rsidP="00A00F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Обратим внимание, что задания С2 и С4 по сути состоят из двух связанных между собой вопросов. Их можно разделить на два типа. Первый сформулирован таким образом: первая часть задания относится к уже проанализированному в частях С1 или С3 произведению, а вторая проверяет умение сопоставлять литературные явления, находить тематические, образные, персонажные и т. д. параллели. Например: </w:t>
      </w:r>
    </w:p>
    <w:p w:rsidR="00A00F93" w:rsidRPr="00557A71" w:rsidRDefault="00A00F93" w:rsidP="00A00F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557A71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Критерии оценивания заданий С2 и С4, так же, как и заданий С1 и С3, - общие. </w:t>
      </w:r>
    </w:p>
    <w:tbl>
      <w:tblPr>
        <w:tblW w:w="4750" w:type="pct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4A0"/>
      </w:tblPr>
      <w:tblGrid>
        <w:gridCol w:w="8914"/>
      </w:tblGrid>
      <w:tr w:rsidR="00A00F93" w:rsidRPr="00A00F93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5"/>
              <w:gridCol w:w="1521"/>
            </w:tblGrid>
            <w:tr w:rsidR="00A00F93" w:rsidRPr="00A00F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7ECD7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Точность и полнота ответа на задание С2-С4</w:t>
                  </w:r>
                </w:p>
              </w:tc>
              <w:tc>
                <w:tcPr>
                  <w:tcW w:w="1500" w:type="dxa"/>
                  <w:shd w:val="clear" w:color="auto" w:fill="F7ECD7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</w:tr>
            <w:tr w:rsidR="00A00F93" w:rsidRPr="00A00F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а) экзаменуемый обнаруживает понимание специфики задания: отвечает на вопрос, требующий привлечения литературного контекста, то есть называет не менее двух произведений и/или писателей, в творчестве которых нашла отражение указанная проблема или названный мотив, художественный прием и т. д. (2 и более позиций сопоставления), и дает содержательное обоснование для сопоставления, приводя необходимые аргументы; фактические ошибки в ответе отсутствуют </w:t>
                  </w:r>
                </w:p>
              </w:tc>
              <w:tc>
                <w:tcPr>
                  <w:tcW w:w="1500" w:type="dxa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A00F93" w:rsidRPr="00A00F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б) экзаменуемый отвечает на вопрос, но ограничивается минимальным литературным контекстом (одна позиция сопоставления), указывая произведение и автора; дает лишь частичное обоснование сопоставления и/или допускает одну фактическую ошибку</w:t>
                  </w:r>
                </w:p>
              </w:tc>
              <w:tc>
                <w:tcPr>
                  <w:tcW w:w="1500" w:type="dxa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00F93" w:rsidRPr="00A00F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в) экзаменуемый отвечает на вопрос, привлекая минимальный литературный контекст (одна позиция), но указывает литературный контекст неполно (без фамилии автора или без названия произведения), и/или не дает содержательного обоснования, и/или допускает 2–3 фактические ошибки </w:t>
                  </w:r>
                </w:p>
              </w:tc>
              <w:tc>
                <w:tcPr>
                  <w:tcW w:w="1500" w:type="dxa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A00F93" w:rsidRPr="00A00F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г) экзаменуемый не отвечает на вопрос или даёт ответ, который содержательно не соотносится с поставленной задачей</w:t>
                  </w:r>
                </w:p>
              </w:tc>
              <w:tc>
                <w:tcPr>
                  <w:tcW w:w="1500" w:type="dxa"/>
                  <w:shd w:val="clear" w:color="auto" w:fill="F9F2E3"/>
                  <w:hideMark/>
                </w:tcPr>
                <w:p w:rsidR="00A00F93" w:rsidRPr="00A00F93" w:rsidRDefault="00A00F93" w:rsidP="00A00F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A00F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A00F93" w:rsidRPr="00A00F93" w:rsidRDefault="00A00F93" w:rsidP="00A00F93">
            <w:pPr>
              <w:spacing w:after="0" w:line="240" w:lineRule="auto"/>
              <w:rPr>
                <w:rFonts w:ascii="Verdana" w:eastAsia="Times New Roman" w:hAnsi="Verdana" w:cs="Times New Roman"/>
                <w:color w:val="F9F2E3"/>
                <w:sz w:val="18"/>
                <w:szCs w:val="18"/>
              </w:rPr>
            </w:pPr>
          </w:p>
        </w:tc>
      </w:tr>
    </w:tbl>
    <w:p w:rsidR="00A00F93" w:rsidRPr="00A00F93" w:rsidRDefault="00A00F93" w:rsidP="00A00F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Итак, </w:t>
      </w:r>
      <w:r w:rsidRPr="00557A71">
        <w:rPr>
          <w:rFonts w:ascii="Tahoma" w:eastAsia="Times New Roman" w:hAnsi="Tahoma" w:cs="Tahoma"/>
          <w:b/>
          <w:color w:val="000000"/>
          <w:sz w:val="18"/>
          <w:szCs w:val="18"/>
        </w:rPr>
        <w:t>требования к ответам заданий С2 и С4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таковы: понимание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специфики задания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(если предложено два связанных между собой вопроса, необходимо ответить на них последовательно, не пропустив ни одного из них),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точность и полнота ответа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на главный (центральный) вопрос, привлечение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литературного контекста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обоснование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сопоставления (оно может опираться на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изученный учебный материал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или предлагать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собственные аспекты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 сопоставления),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полнота аргументации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точность фактического материала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. При этом привлечение литературного контекста следует обосновывать в первую очередь с литературоведческой точки зрения, и только во вторую – с позиции пишущего. Главное здесь - правильное понимание </w:t>
      </w:r>
      <w:r w:rsidRPr="00A00F93">
        <w:rPr>
          <w:rFonts w:ascii="Arial" w:eastAsia="Times New Roman" w:hAnsi="Arial" w:cs="Arial"/>
          <w:b/>
          <w:bCs/>
          <w:color w:val="000000"/>
          <w:sz w:val="18"/>
        </w:rPr>
        <w:t>смысла вопроса</w:t>
      </w:r>
      <w:r w:rsidRPr="00A00F9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</w:p>
    <w:p w:rsidR="00A00F93" w:rsidRPr="00557A71" w:rsidRDefault="00A00F93" w:rsidP="00A00F93">
      <w:pPr>
        <w:pStyle w:val="m"/>
        <w:rPr>
          <w:b/>
          <w:u w:val="single"/>
        </w:rPr>
      </w:pPr>
      <w:r w:rsidRPr="00557A71">
        <w:rPr>
          <w:rStyle w:val="m1"/>
          <w:b/>
          <w:u w:val="single"/>
        </w:rPr>
        <w:t xml:space="preserve">Приведем пример сочинения части С2. </w:t>
      </w:r>
    </w:p>
    <w:p w:rsidR="00A00F93" w:rsidRDefault="00A00F93" w:rsidP="00A00F93">
      <w:pPr>
        <w:pStyle w:val="m"/>
        <w:rPr>
          <w:rStyle w:val="tbln121"/>
          <w:b/>
          <w:sz w:val="20"/>
          <w:szCs w:val="20"/>
        </w:rPr>
      </w:pPr>
      <w:r w:rsidRPr="00557A71">
        <w:rPr>
          <w:rStyle w:val="tbb121"/>
          <w:sz w:val="20"/>
          <w:szCs w:val="20"/>
        </w:rPr>
        <w:t>С2</w:t>
      </w:r>
      <w:r w:rsidRPr="00557A71">
        <w:rPr>
          <w:rStyle w:val="m1"/>
          <w:sz w:val="20"/>
          <w:szCs w:val="20"/>
        </w:rPr>
        <w:t>.</w:t>
      </w:r>
      <w:r w:rsidRPr="00557A71">
        <w:rPr>
          <w:rStyle w:val="m1"/>
          <w:b/>
          <w:sz w:val="20"/>
          <w:szCs w:val="20"/>
        </w:rPr>
        <w:t xml:space="preserve"> </w:t>
      </w:r>
      <w:r w:rsidRPr="00557A71">
        <w:rPr>
          <w:rStyle w:val="tbln121"/>
          <w:b/>
          <w:sz w:val="20"/>
          <w:szCs w:val="20"/>
        </w:rPr>
        <w:t xml:space="preserve">Как автор «Слова» относится к своему герою и в каких еще произведениях русской литературы можно увидеть неоднозначное отношение автора к героям? </w:t>
      </w:r>
    </w:p>
    <w:p w:rsidR="00557A71" w:rsidRPr="00557A71" w:rsidRDefault="00557A71" w:rsidP="00A00F93">
      <w:pPr>
        <w:pStyle w:val="m"/>
        <w:rPr>
          <w:b/>
          <w:sz w:val="20"/>
          <w:szCs w:val="20"/>
        </w:rPr>
      </w:pPr>
      <w:r>
        <w:rPr>
          <w:rStyle w:val="tbln121"/>
          <w:b/>
          <w:sz w:val="20"/>
          <w:szCs w:val="20"/>
        </w:rPr>
        <w:t>Образец сочинения:</w:t>
      </w:r>
    </w:p>
    <w:p w:rsidR="00A00F93" w:rsidRDefault="00A00F93" w:rsidP="00A00F93">
      <w:pPr>
        <w:pStyle w:val="tbln12"/>
      </w:pPr>
      <w:r>
        <w:t xml:space="preserve">Автор «Слова о полку Игореве» неоднозначно относится к своему герою. Для автора Игорь храбрый, но недальновидный полководец, который ведет свои войска в поход, обреченный на неудачу. Игорь любит родину, Русь, но основным побуждением его является стремление к личной славе: «Страсть князю ум охватила, и желание отведать Дон Великий заслонило ему предзнаменование». </w:t>
      </w:r>
    </w:p>
    <w:p w:rsidR="00A00F93" w:rsidRDefault="00A00F93" w:rsidP="00A00F93">
      <w:pPr>
        <w:pStyle w:val="tbln12"/>
      </w:pPr>
      <w:r>
        <w:t xml:space="preserve">Пример противоречивого отношения автора к герою можно увидеть в романе-эпопее Л.Н. Толстого «Война и мир». С одной стороны, Л.Н. Толстой осуждает бесчестные и подлые поступки Долохова по отношению к Пьеру и Николаю Ростову, с другой – показывает его человеком, способным любить, заботливым сыном и братом. Не случайно и в портрете Долохова соединены контрастные черты: «прекрасные» и «наглые» глаза. </w:t>
      </w:r>
    </w:p>
    <w:p w:rsidR="00A00F93" w:rsidRDefault="00A00F93" w:rsidP="00A00F93">
      <w:pPr>
        <w:pStyle w:val="tbln12"/>
      </w:pPr>
      <w:r>
        <w:t xml:space="preserve">Неоднозначно также отношение И.С. Тургенева к главному герою романа «Отцы и дети» Евгению Базарову. Автор симпатизирует Базарову за его честность, за самостоятельность суждений и независимость, но не принимает нигилистических взглядов, которые отстаивает герой, его отношения к природе и искусству, миру и людям в целом. </w:t>
      </w:r>
    </w:p>
    <w:p w:rsidR="00A00F93" w:rsidRDefault="00A00F93" w:rsidP="00A00F93">
      <w:pPr>
        <w:pStyle w:val="m"/>
      </w:pPr>
      <w:r>
        <w:lastRenderedPageBreak/>
        <w:t xml:space="preserve">Ответ на первую часть вопроса сформулирован точно, при этом учащийся опирается на текст произведения. Далее пишущий последовательно отвечает на вторую часть вопроса, аргументируя свое мнение, кратко и в то же время исчерпывающе поясняя свою мысль: подтверждает авторское отношение к названному персонажу уместной цитатой в первом случае и комментированием авторской позиции – во втором. </w:t>
      </w:r>
    </w:p>
    <w:p w:rsidR="00A00F93" w:rsidRDefault="00A00F93" w:rsidP="00A00F93">
      <w:pPr>
        <w:pStyle w:val="m"/>
      </w:pPr>
      <w:r>
        <w:t xml:space="preserve">Оценка задания – 3 балла: экзаменуемый обнаруживает понимание специфики задания: отвечает на вопрос, требующий привлечения литературного контекста, называет два произведения двух писателей, в творчестве которых нашла отражение указанная проблема – неоднозначное авторское отношение к героям, и дает содержательное обоснование сопоставления, приводя необходимые аргументы; фактические ошибки в ответе отсутствуют. Обратимся теперь к </w:t>
      </w:r>
      <w:hyperlink r:id="rId6" w:tgtFrame="_blank" w:history="1">
        <w:r>
          <w:rPr>
            <w:rStyle w:val="a4"/>
            <w:color w:val="990000"/>
          </w:rPr>
          <w:t>заданию для самостоятельной работы</w:t>
        </w:r>
      </w:hyperlink>
      <w:r>
        <w:t xml:space="preserve">, в котором требовалось ответить на такой вопрос: </w:t>
      </w:r>
    </w:p>
    <w:p w:rsidR="00A00F93" w:rsidRDefault="00A00F93" w:rsidP="00A00F93">
      <w:pPr>
        <w:pStyle w:val="m"/>
        <w:rPr>
          <w:rStyle w:val="tbln121"/>
          <w:b/>
          <w:sz w:val="20"/>
          <w:szCs w:val="20"/>
        </w:rPr>
      </w:pPr>
      <w:r w:rsidRPr="00557A71">
        <w:rPr>
          <w:rStyle w:val="tbb121"/>
          <w:sz w:val="20"/>
          <w:szCs w:val="20"/>
        </w:rPr>
        <w:t>C4</w:t>
      </w:r>
      <w:r w:rsidRPr="00557A71">
        <w:rPr>
          <w:sz w:val="20"/>
          <w:szCs w:val="20"/>
        </w:rPr>
        <w:t>.</w:t>
      </w:r>
      <w:r w:rsidRPr="00557A71">
        <w:rPr>
          <w:b/>
          <w:sz w:val="20"/>
          <w:szCs w:val="20"/>
        </w:rPr>
        <w:t xml:space="preserve"> </w:t>
      </w:r>
      <w:r w:rsidRPr="00557A71">
        <w:rPr>
          <w:rStyle w:val="tbln121"/>
          <w:b/>
          <w:sz w:val="20"/>
          <w:szCs w:val="20"/>
        </w:rPr>
        <w:t xml:space="preserve">Кто из русских поэтов обращался к теме родной природы и какие мотивы сближают их произведения со стихотворением А.А. Фета? </w:t>
      </w:r>
    </w:p>
    <w:p w:rsidR="00557A71" w:rsidRPr="00557A71" w:rsidRDefault="00557A71" w:rsidP="00A00F93">
      <w:pPr>
        <w:pStyle w:val="m"/>
        <w:rPr>
          <w:b/>
          <w:sz w:val="20"/>
          <w:szCs w:val="20"/>
        </w:rPr>
      </w:pPr>
      <w:r>
        <w:rPr>
          <w:rStyle w:val="tbln121"/>
          <w:b/>
          <w:sz w:val="20"/>
          <w:szCs w:val="20"/>
        </w:rPr>
        <w:t>Образец сочинения:</w:t>
      </w:r>
    </w:p>
    <w:p w:rsidR="00A00F93" w:rsidRDefault="00A00F93" w:rsidP="00A00F93">
      <w:pPr>
        <w:pStyle w:val="tbln12"/>
      </w:pPr>
      <w:r>
        <w:t xml:space="preserve">К теме родной природы и до, и после А.А. Фета обращались многие русские поэты, ведь отраженное в стихах настроение и состояние природного мира зачастую позволяет автору выразить свои переживания. </w:t>
      </w:r>
    </w:p>
    <w:p w:rsidR="00A00F93" w:rsidRDefault="00A00F93" w:rsidP="00A00F93">
      <w:pPr>
        <w:pStyle w:val="tbln12"/>
      </w:pPr>
      <w:r>
        <w:t xml:space="preserve">В «Зимнем утре» А.С. Пушкина картины природы вызывают у лирического героя ассоциации с чем-то светлым, чудным, потому что его переполняет чувство любви, окрашивающее восторженным отношением все вокруг: и блестящий на солнце снег, и «речку подо льдом», то есть самые обыденные, привычные детали пейзажа. Этот мотив «прекрасного в обыденном» и сближает пушкинское стихотворение с «Вечером» Фета. </w:t>
      </w:r>
    </w:p>
    <w:p w:rsidR="00A00F93" w:rsidRDefault="00A00F93" w:rsidP="00A00F93">
      <w:pPr>
        <w:pStyle w:val="tbln12"/>
      </w:pPr>
      <w:r>
        <w:t xml:space="preserve">Стихотворение М.Ю. Лермонтова «Когда волнуется желтеющая нива…» проникнуто чувством умиротворения и гармонии. Лермонтову, как и Фету, свойственно понимать и одушевлять природу. Более того, одушевленная природа будто вступает в диалог с лермонтовским героем: «студеный ключ лепечет таинственную сагу», «ландыш серебристый приветливо кивает головой». Гармония, царящая в мире, помогает смирить тревогу в душе лирического героя. В этот момент и происходит единение с природой, с миром: «И счастье я могу постигнуть на земле, И в небесах я вижу Бога». </w:t>
      </w:r>
    </w:p>
    <w:p w:rsidR="00A00F93" w:rsidRDefault="00A00F93" w:rsidP="00A00F93">
      <w:pPr>
        <w:pStyle w:val="tbln12"/>
      </w:pPr>
      <w:r>
        <w:t xml:space="preserve">Итак, стихотворение Фета с пушкинским сближает мотив красоты, которую поэт видит в родных зимних пейзажах. Мотивы единения с природой и умиротворяющей красоты окружающего мира – общие у Лермонтова и Фета. Лирические герои Пушкина и Лермонтова, подобно фетовскому, чувствуют неразрывную связь человека и природы. </w:t>
      </w:r>
    </w:p>
    <w:p w:rsidR="00A00F93" w:rsidRDefault="00A00F93" w:rsidP="00A00F93">
      <w:pPr>
        <w:pStyle w:val="tbb12"/>
        <w:jc w:val="center"/>
      </w:pPr>
      <w:r>
        <w:t>Общие рекомендации к заданиям С2 и С4:</w:t>
      </w:r>
    </w:p>
    <w:p w:rsidR="00A00F93" w:rsidRDefault="00A00F93" w:rsidP="00A00F93">
      <w:pPr>
        <w:pStyle w:val="m"/>
      </w:pPr>
      <w:r>
        <w:t xml:space="preserve">1. Проверьте, </w:t>
      </w:r>
      <w:r>
        <w:rPr>
          <w:rStyle w:val="tbb121"/>
        </w:rPr>
        <w:t>адекватно ли вы поняли задание</w:t>
      </w:r>
      <w:r>
        <w:t xml:space="preserve">. Проанализируйте вопрос, выделив в нем </w:t>
      </w:r>
      <w:r>
        <w:rPr>
          <w:rStyle w:val="tbb121"/>
        </w:rPr>
        <w:t>ключевые слова</w:t>
      </w:r>
      <w:r>
        <w:t xml:space="preserve">. Разберитесь в значениях терминов, использованных в формулировке вопроса. </w:t>
      </w:r>
    </w:p>
    <w:p w:rsidR="00A00F93" w:rsidRDefault="00A00F93" w:rsidP="00A00F93">
      <w:pPr>
        <w:pStyle w:val="m"/>
      </w:pPr>
      <w:r>
        <w:t xml:space="preserve">2. </w:t>
      </w:r>
      <w:r>
        <w:rPr>
          <w:rStyle w:val="tbb121"/>
        </w:rPr>
        <w:t>Проделайте</w:t>
      </w:r>
      <w:r>
        <w:t xml:space="preserve"> аналитическую работу с </w:t>
      </w:r>
      <w:r>
        <w:rPr>
          <w:rStyle w:val="tbb121"/>
        </w:rPr>
        <w:t>текстом задания, которое по сути служит планом ответа</w:t>
      </w:r>
      <w:r>
        <w:t xml:space="preserve">: сначала назовите авторов и произведения (не менее </w:t>
      </w:r>
      <w:r>
        <w:rPr>
          <w:rStyle w:val="tbb121"/>
        </w:rPr>
        <w:t>двух позиций сопоставления</w:t>
      </w:r>
      <w:r>
        <w:t xml:space="preserve">), а затем обоснуйте свой выбор, прокомментировав эти произведения в соответствии с заданием. </w:t>
      </w:r>
    </w:p>
    <w:p w:rsidR="00A00F93" w:rsidRDefault="00A00F93" w:rsidP="00A00F93">
      <w:pPr>
        <w:pStyle w:val="m"/>
      </w:pPr>
      <w:r>
        <w:t xml:space="preserve">3. Включайте в работу только тот </w:t>
      </w:r>
      <w:r>
        <w:rPr>
          <w:rStyle w:val="tbb121"/>
        </w:rPr>
        <w:t>текстовый материал</w:t>
      </w:r>
      <w:r>
        <w:t xml:space="preserve">, который служит точным комментарием ваших тезисов. </w:t>
      </w:r>
    </w:p>
    <w:p w:rsidR="00A00F93" w:rsidRDefault="00A00F93" w:rsidP="00A00F93">
      <w:pPr>
        <w:pStyle w:val="m"/>
      </w:pPr>
      <w:r>
        <w:t xml:space="preserve">4. </w:t>
      </w:r>
      <w:r>
        <w:rPr>
          <w:rStyle w:val="tbb121"/>
        </w:rPr>
        <w:t>Отредактируйте</w:t>
      </w:r>
      <w:r>
        <w:t xml:space="preserve"> ответ, уберите избыточные рассуждения и примеры, внесите необходимые дополнения в ответ на</w:t>
      </w:r>
      <w:r>
        <w:rPr>
          <w:rStyle w:val="tbb121"/>
        </w:rPr>
        <w:t xml:space="preserve"> главную</w:t>
      </w:r>
      <w:r>
        <w:t xml:space="preserve"> (сопоставительную) </w:t>
      </w:r>
      <w:r>
        <w:rPr>
          <w:rStyle w:val="tbb121"/>
        </w:rPr>
        <w:t>часть вопроса</w:t>
      </w:r>
      <w:r>
        <w:t xml:space="preserve">. </w:t>
      </w:r>
    </w:p>
    <w:p w:rsidR="00A00F93" w:rsidRDefault="00A00F93" w:rsidP="00A00F93">
      <w:pPr>
        <w:pStyle w:val="m"/>
      </w:pPr>
      <w:r>
        <w:t xml:space="preserve">5. Избегайте </w:t>
      </w:r>
      <w:r>
        <w:rPr>
          <w:rStyle w:val="tbb121"/>
        </w:rPr>
        <w:t>общих рассуждений</w:t>
      </w:r>
      <w:r>
        <w:t xml:space="preserve">. </w:t>
      </w:r>
    </w:p>
    <w:p w:rsidR="00A00F93" w:rsidRDefault="00A00F93" w:rsidP="00A00F93">
      <w:pPr>
        <w:pStyle w:val="m"/>
      </w:pPr>
      <w:r>
        <w:t xml:space="preserve">6. Проанализируйте </w:t>
      </w:r>
      <w:r>
        <w:rPr>
          <w:rStyle w:val="tbb121"/>
        </w:rPr>
        <w:t>логику ответа</w:t>
      </w:r>
      <w:r>
        <w:t xml:space="preserve">, проверьте </w:t>
      </w:r>
      <w:r>
        <w:rPr>
          <w:rStyle w:val="tbb121"/>
        </w:rPr>
        <w:t>речевое оформление</w:t>
      </w:r>
      <w:r>
        <w:t xml:space="preserve">, устраните речевые недочеты. </w:t>
      </w:r>
    </w:p>
    <w:p w:rsidR="00A00F93" w:rsidRDefault="00A00F93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557A71" w:rsidRDefault="00557A71">
      <w:pPr>
        <w:rPr>
          <w:rFonts w:ascii="Verdana" w:hAnsi="Verdana"/>
          <w:b/>
          <w:bCs/>
          <w:color w:val="000000"/>
          <w:sz w:val="18"/>
          <w:szCs w:val="18"/>
        </w:rPr>
      </w:pPr>
    </w:p>
    <w:sectPr w:rsidR="00557A71" w:rsidSect="003964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39" w:rsidRDefault="00591739" w:rsidP="009112DD">
      <w:pPr>
        <w:spacing w:after="0" w:line="240" w:lineRule="auto"/>
      </w:pPr>
      <w:r>
        <w:separator/>
      </w:r>
    </w:p>
  </w:endnote>
  <w:endnote w:type="continuationSeparator" w:id="1">
    <w:p w:rsidR="00591739" w:rsidRDefault="00591739" w:rsidP="0091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10"/>
      <w:docPartObj>
        <w:docPartGallery w:val="Page Numbers (Bottom of Page)"/>
        <w:docPartUnique/>
      </w:docPartObj>
    </w:sdtPr>
    <w:sdtContent>
      <w:p w:rsidR="009112DD" w:rsidRDefault="00AC7050">
        <w:pPr>
          <w:pStyle w:val="a9"/>
          <w:jc w:val="right"/>
        </w:pPr>
        <w:fldSimple w:instr=" PAGE   \* MERGEFORMAT ">
          <w:r w:rsidR="009F62CA">
            <w:rPr>
              <w:noProof/>
            </w:rPr>
            <w:t>2</w:t>
          </w:r>
        </w:fldSimple>
      </w:p>
    </w:sdtContent>
  </w:sdt>
  <w:p w:rsidR="009112DD" w:rsidRDefault="009112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39" w:rsidRDefault="00591739" w:rsidP="009112DD">
      <w:pPr>
        <w:spacing w:after="0" w:line="240" w:lineRule="auto"/>
      </w:pPr>
      <w:r>
        <w:separator/>
      </w:r>
    </w:p>
  </w:footnote>
  <w:footnote w:type="continuationSeparator" w:id="1">
    <w:p w:rsidR="00591739" w:rsidRDefault="00591739" w:rsidP="0091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F93"/>
    <w:rsid w:val="00194C56"/>
    <w:rsid w:val="0039646F"/>
    <w:rsid w:val="00557A71"/>
    <w:rsid w:val="00591739"/>
    <w:rsid w:val="005A4CBD"/>
    <w:rsid w:val="006F2311"/>
    <w:rsid w:val="009112DD"/>
    <w:rsid w:val="009F62CA"/>
    <w:rsid w:val="00A00F93"/>
    <w:rsid w:val="00AC7050"/>
    <w:rsid w:val="00AF47D3"/>
    <w:rsid w:val="00F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6F"/>
  </w:style>
  <w:style w:type="paragraph" w:styleId="1">
    <w:name w:val="heading 1"/>
    <w:basedOn w:val="a"/>
    <w:next w:val="a"/>
    <w:link w:val="10"/>
    <w:uiPriority w:val="9"/>
    <w:qFormat/>
    <w:rsid w:val="00194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0F9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6633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F93"/>
    <w:rPr>
      <w:rFonts w:ascii="Arial" w:eastAsia="Times New Roman" w:hAnsi="Arial" w:cs="Arial"/>
      <w:b/>
      <w:bCs/>
      <w:color w:val="663300"/>
      <w:sz w:val="18"/>
      <w:szCs w:val="18"/>
    </w:rPr>
  </w:style>
  <w:style w:type="paragraph" w:customStyle="1" w:styleId="m">
    <w:name w:val="m"/>
    <w:basedOn w:val="a"/>
    <w:rsid w:val="00A00F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m">
    <w:name w:val="tm"/>
    <w:basedOn w:val="a"/>
    <w:rsid w:val="00A00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52A2A"/>
      <w:sz w:val="15"/>
      <w:szCs w:val="15"/>
    </w:rPr>
  </w:style>
  <w:style w:type="character" w:customStyle="1" w:styleId="tbb121">
    <w:name w:val="tbb121"/>
    <w:basedOn w:val="a0"/>
    <w:rsid w:val="00A00F9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bln121">
    <w:name w:val="tbln121"/>
    <w:basedOn w:val="a0"/>
    <w:rsid w:val="00A00F93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A0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0F93"/>
    <w:rPr>
      <w:color w:val="0000FF"/>
      <w:u w:val="single"/>
    </w:rPr>
  </w:style>
  <w:style w:type="paragraph" w:customStyle="1" w:styleId="tbln12">
    <w:name w:val="tbln12"/>
    <w:basedOn w:val="a"/>
    <w:rsid w:val="00A00F9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character" w:customStyle="1" w:styleId="m1">
    <w:name w:val="m1"/>
    <w:basedOn w:val="a0"/>
    <w:rsid w:val="00A00F93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rd121">
    <w:name w:val="trd121"/>
    <w:basedOn w:val="a0"/>
    <w:rsid w:val="00A00F93"/>
    <w:rPr>
      <w:rFonts w:ascii="Arial" w:hAnsi="Arial" w:cs="Arial" w:hint="default"/>
      <w:b/>
      <w:bCs/>
      <w:strike w:val="0"/>
      <w:dstrike w:val="0"/>
      <w:color w:val="800000"/>
      <w:sz w:val="18"/>
      <w:szCs w:val="18"/>
      <w:u w:val="none"/>
      <w:effect w:val="none"/>
    </w:rPr>
  </w:style>
  <w:style w:type="paragraph" w:customStyle="1" w:styleId="tbb12">
    <w:name w:val="tbb12"/>
    <w:basedOn w:val="a"/>
    <w:rsid w:val="00A00F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A00F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4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194C5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1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2DD"/>
  </w:style>
  <w:style w:type="paragraph" w:styleId="a9">
    <w:name w:val="footer"/>
    <w:basedOn w:val="a"/>
    <w:link w:val="aa"/>
    <w:uiPriority w:val="99"/>
    <w:unhideWhenUsed/>
    <w:rsid w:val="0091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59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a.ru/EXM/?id=5.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2013-06-04T00:56:00Z</cp:lastPrinted>
  <dcterms:created xsi:type="dcterms:W3CDTF">2013-03-24T05:02:00Z</dcterms:created>
  <dcterms:modified xsi:type="dcterms:W3CDTF">2013-06-11T00:57:00Z</dcterms:modified>
</cp:coreProperties>
</file>