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Контрольно-</w:t>
      </w:r>
      <w:proofErr w:type="gramStart"/>
      <w:r w:rsidRPr="0014486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оценочная</w:t>
      </w:r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система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на уроках физической культуры.</w:t>
      </w:r>
    </w:p>
    <w:p w:rsid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(Выступление на ШМО учителей ФК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</w:p>
    <w:p w:rsid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44861" w:rsidRP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Из опыта работы</w:t>
      </w:r>
    </w:p>
    <w:p w:rsidR="00144861" w:rsidRP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 физической культуры</w:t>
      </w:r>
    </w:p>
    <w:p w:rsidR="00144861" w:rsidRPr="00144861" w:rsidRDefault="00144861" w:rsidP="0014486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</w:t>
      </w:r>
      <w:proofErr w:type="spellStart"/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Яковкиной</w:t>
      </w:r>
      <w:proofErr w:type="spellEnd"/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Е.П. МБОУСОШ </w:t>
      </w:r>
      <w:proofErr w:type="spellStart"/>
      <w:r w:rsidRPr="0014486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п.Зеленоборск</w:t>
      </w:r>
      <w:proofErr w:type="spellEnd"/>
    </w:p>
    <w:p w:rsidR="00144861" w:rsidRDefault="00144861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4861" w:rsidRDefault="00144861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Достижения в обучении физической </w:t>
      </w:r>
      <w:proofErr w:type="gramStart"/>
      <w:r w:rsidRPr="00AC011B">
        <w:rPr>
          <w:rFonts w:ascii="Times New Roman" w:hAnsi="Times New Roman" w:cs="Times New Roman"/>
          <w:sz w:val="24"/>
          <w:szCs w:val="24"/>
        </w:rPr>
        <w:t>культуре,  во</w:t>
      </w:r>
      <w:proofErr w:type="gramEnd"/>
      <w:r w:rsidRPr="00AC011B">
        <w:rPr>
          <w:rFonts w:ascii="Times New Roman" w:hAnsi="Times New Roman" w:cs="Times New Roman"/>
          <w:sz w:val="24"/>
          <w:szCs w:val="24"/>
        </w:rPr>
        <w:t xml:space="preserve"> многом зависят от заинтересованности учеников, физических способностей и  их активности. А залогом этого, в свою очередь, служат конкретные и посильные цели, достижение которых поощряется тем или иным образом, как правило, – оценками. Оценки являются не только инструментом рейтинга одноклассников, но и позволяют школьникам выделиться, проявить себя перед сверстниками и родителями. Поэтому необходимо очень ответственно относиться к диагностике уровня знаний и умений учеников, максимально гибко работая с отметками.</w:t>
      </w: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На мой взгляд, существующая у нас система оценки образовательных достижений учеников далека от совершенства. Во многом из-за ряда противоречий. К примеру, от школьников ждут инициативы и активности, но при этом отношение к ним со стороны наставников строятся, во многом, на основании успеваемости. Также у каждого ученика имеются индивидуальные особенности психического и физического развития, которые нельзя оценивать едино. Для одного ребенка определенная отметка - это всего лишь элементарный показ своих способностей (конкретно в физкультуре), а для другого - приложение определенных усилий и стараний. Именно поэтому, я считаю, что в физкультуре и спорте нельзя применять строгую </w:t>
      </w:r>
      <w:proofErr w:type="spellStart"/>
      <w:r w:rsidRPr="00AC011B">
        <w:rPr>
          <w:rFonts w:ascii="Times New Roman" w:hAnsi="Times New Roman" w:cs="Times New Roman"/>
          <w:sz w:val="24"/>
          <w:szCs w:val="24"/>
        </w:rPr>
        <w:t>пятибальную</w:t>
      </w:r>
      <w:proofErr w:type="spellEnd"/>
      <w:r w:rsidRPr="00AC011B">
        <w:rPr>
          <w:rFonts w:ascii="Times New Roman" w:hAnsi="Times New Roman" w:cs="Times New Roman"/>
          <w:sz w:val="24"/>
          <w:szCs w:val="24"/>
        </w:rPr>
        <w:t xml:space="preserve"> систему. Необходимо пользоваться гибкой методикой оценки, которая будет отражать достижения учеников по каждому направлению его деятельности, так называемую шкалу успеха или мониторинг физических достижений учащегося по предмету.</w:t>
      </w: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Так или иначе, контроль знаний и умений учеников должен базироваться на выполнении ряда требований. При осуществлении диагностики образовательного уровня педагог обязан исходить из принципов </w:t>
      </w:r>
      <w:proofErr w:type="spellStart"/>
      <w:r w:rsidRPr="00AC011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AC011B">
        <w:rPr>
          <w:rFonts w:ascii="Times New Roman" w:hAnsi="Times New Roman" w:cs="Times New Roman"/>
          <w:sz w:val="24"/>
          <w:szCs w:val="24"/>
        </w:rPr>
        <w:t xml:space="preserve"> и гарантировать каждому воспитаннику право на улучшение отметки. Для всех учеников рекомендуется создать условия, в которых можно выбрать уровень сложности  задания. Мониторинг следует проводить своевременно и целенаправленно. </w:t>
      </w: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Оценка учебных достижений по учебному предмету «Физическая культура» отличается многогранностью так как задачами физического воспитания являются: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·   совершенствование физич</w:t>
      </w:r>
      <w:r>
        <w:rPr>
          <w:rFonts w:ascii="Times New Roman" w:hAnsi="Times New Roman" w:cs="Times New Roman"/>
          <w:sz w:val="24"/>
          <w:szCs w:val="24"/>
        </w:rPr>
        <w:t>еских качеств;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·  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двигательных умений и навыков;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·   формирование сп</w:t>
      </w:r>
      <w:r>
        <w:rPr>
          <w:rFonts w:ascii="Times New Roman" w:hAnsi="Times New Roman" w:cs="Times New Roman"/>
          <w:sz w:val="24"/>
          <w:szCs w:val="24"/>
        </w:rPr>
        <w:t>ециальных физкультурных знаний;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·   умение применять полученные знания на занятиях и в повседневной жизни.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  Таким образом, оценка знаний учащихся по физкультуре характеризуется комплексностью, и оценивание только по отдельным составляющим недопустимо.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     На уроках физической культуры оцениваются: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· </w:t>
      </w:r>
      <w:r>
        <w:rPr>
          <w:rFonts w:ascii="Times New Roman" w:hAnsi="Times New Roman" w:cs="Times New Roman"/>
          <w:sz w:val="24"/>
          <w:szCs w:val="24"/>
        </w:rPr>
        <w:t xml:space="preserve">   физическая подготовленность,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·  </w:t>
      </w:r>
      <w:r>
        <w:rPr>
          <w:rFonts w:ascii="Times New Roman" w:hAnsi="Times New Roman" w:cs="Times New Roman"/>
          <w:sz w:val="24"/>
          <w:szCs w:val="24"/>
        </w:rPr>
        <w:t xml:space="preserve">  практические умения и навыки,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·    теоретические знания,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·    навыки организации физкультурн</w:t>
      </w:r>
      <w:r>
        <w:rPr>
          <w:rFonts w:ascii="Times New Roman" w:hAnsi="Times New Roman" w:cs="Times New Roman"/>
          <w:sz w:val="24"/>
          <w:szCs w:val="24"/>
        </w:rPr>
        <w:t>о-оздоровительной деятельности,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lastRenderedPageBreak/>
        <w:t>·    динамика (прирост) оцениваемых параметров по сравнению с исходными или предшествующими промежуточными значениями (учитывается базовый уровень здоровья, физической подготовленности),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Для оценки  достижений учащихся использую методы наблюдения, опроса, практического выполнения упражнений индивидуально или фронтально в любое время урока.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При оценке уровня физической подготовленности следует принимать во внимание реальную динамику показателей физической подготовленности за определенный период времени, а также особенности развития двигательных способностей учеников, динамику их изменения у детей определенного возраста, исходный уровень достижений конкретных учащихся.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Дисциплина, поведение на уроке, отсутствие или наличие у учащихся спортивной формы не являются объектом оценивания.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Также не забываю похвалить ученика: «Молодец!», «Сегодня у тебя получается значительно лучше», – и т.д.: это дает дополнительный стимул для достижения успехов.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Таким образом, современные подходы к оцениванию достижений учащихся на уроках физической культуры связаны не только с широкими академическими свободами учителя, но и с большой ответственностью.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Системы оценивания деятельности учащихся на уроках физической культуры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1.</w:t>
      </w:r>
      <w:r w:rsidRPr="00AC0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AC011B">
        <w:rPr>
          <w:rFonts w:ascii="Times New Roman" w:hAnsi="Times New Roman" w:cs="Times New Roman"/>
          <w:b/>
          <w:sz w:val="24"/>
          <w:szCs w:val="24"/>
        </w:rPr>
        <w:t>Метод оценивания учащихся в 1-4 классах ФГОС НОО.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Классификация ошибок и недочетов, влияющих на снижение оценки.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Мелкими ошибками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“заступ” при приземлении.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Значительные ошибки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 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- старт не из требуемого положения;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- отталкивание далеко от планки при выполнении прыжков в длину, высоту;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- бросок мяча в кольцо, метание в цель с наличием дополнительных движений;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- несинхронность выполнения упражнения.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>Грубые ошибки – это такие, которые искажают технику движения, влияют на качество и результат выполнения упражнения.</w:t>
      </w:r>
    </w:p>
    <w:p w:rsidR="00AC011B" w:rsidRPr="00AC011B" w:rsidRDefault="00AC011B" w:rsidP="00AC011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011B" w:rsidRPr="00AC011B" w:rsidRDefault="00AC011B" w:rsidP="00AC01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011B">
        <w:rPr>
          <w:rFonts w:ascii="Times New Roman" w:hAnsi="Times New Roman" w:cs="Times New Roman"/>
          <w:sz w:val="24"/>
          <w:szCs w:val="24"/>
        </w:rPr>
        <w:t xml:space="preserve">2.   </w:t>
      </w:r>
      <w:r w:rsidRPr="00AC011B">
        <w:rPr>
          <w:rFonts w:ascii="Times New Roman" w:hAnsi="Times New Roman" w:cs="Times New Roman"/>
          <w:b/>
          <w:sz w:val="24"/>
          <w:szCs w:val="24"/>
        </w:rPr>
        <w:t>Метод оценивания по пятибалльной шкале в 5 – 9 классах</w:t>
      </w:r>
      <w:r w:rsidRPr="00AC01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Критерии оценивания по физической культуре являются качественными и количественными.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Качественные критерии успеваемости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обязательный минимум содержания образования и в школьный образовательный стандарт.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Количественные критерии успеваемости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 о повышении и дальнейшем развитии интереса к физической культуре.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Итоговая отметка выставляется учащимся за овладение темы, раздела, за триместр (в старших классах – за полугодие), за учебный год. Она включает в себя текущие отметки, полученные учащимися за овладение всеми 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C011B">
        <w:rPr>
          <w:rFonts w:ascii="Times New Roman" w:eastAsia="Calibri" w:hAnsi="Times New Roman" w:cs="Times New Roman"/>
          <w:sz w:val="24"/>
          <w:szCs w:val="24"/>
        </w:rPr>
        <w:t>Критерии оценивания успеваемости по базовым составляющим физической подготовки учащихся.</w:t>
      </w:r>
    </w:p>
    <w:p w:rsidR="00AC011B" w:rsidRPr="00AC011B" w:rsidRDefault="00AC011B" w:rsidP="00AC011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C01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3. Контрольно-оценочная система в спортивно – оздоровительном направлении «Баскетбол» 5 класс, основанная на накопительном принципе по ФГОСООО. 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Новизна заключается в следующем: во-первых, перенос основных оценочных действий и ответственности за формирование оценки на обучающихся, тем самым, обеспечивая их оценочную самостоятельность и развитие рефлексивных умений и навыков. Обучающийся самостоятельно «строит (проектирует)» свою оценку, что способствует развитию его проектных умений; во-вторых, учёт в суммарной оценке на секции результатов внеурочной физкультурой деятельности и иных объектов, ранее не </w:t>
      </w:r>
      <w:proofErr w:type="spellStart"/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учитывающихся</w:t>
      </w:r>
      <w:proofErr w:type="spellEnd"/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оценивания.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Система оценивания, основанная на накоплении и фиксации балльных эквивалентов образовательных достижений обучающихся, включает в себя: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новый подход к оцениванию (применительно к баскетболу);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расширенный спектр объектов оценивания;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альтернативный инструментарий оценивания образовательных (учебно-спортивных) достижений, обучающихся с использованием индивидуальной накопительной ведомости;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Сущность новой системы оценивания – в течение года обучающиеся накапливают («зарабатывают») баллы: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70 и более баллов – оценка «5»;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28 баллов – оценка «4»;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18 баллов – оценка «3».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"/>
        <w:gridCol w:w="6388"/>
        <w:gridCol w:w="1408"/>
        <w:gridCol w:w="1439"/>
      </w:tblGrid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0c45ccaba5b58c4e120e86125f1ee2c77c6f350b"/>
            <w:bookmarkStart w:id="2" w:name="2"/>
            <w:bookmarkEnd w:id="1"/>
            <w:bookmarkEnd w:id="2"/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Знания и умения учащихся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самооценка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учителя</w:t>
            </w:r>
          </w:p>
        </w:tc>
      </w:tr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и выполнять инструктаж по технике безопасности на уроках по баскетболу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выполнять различные варианты передачи мяча, ведение мяча в движении и на месте.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Корректировать движение при ловле и передаче мяча, технику ведения мяча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применять в игре защитные действия, владеть мячом в игре, бросать мяч в корзину с двух шагов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CC04E5"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 правила игры в баскетбол</w:t>
            </w: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11B" w:rsidRPr="00AC011B" w:rsidRDefault="00AC011B" w:rsidP="00AC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         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юноши                   девушки               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</w:t>
      </w:r>
      <w:r w:rsidRPr="00AC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баллы  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  <w:gridCol w:w="567"/>
        <w:gridCol w:w="456"/>
        <w:gridCol w:w="456"/>
        <w:gridCol w:w="364"/>
      </w:tblGrid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cf248ec29badc1a72fcd5c1362b0bb5623198211"/>
            <w:bookmarkStart w:id="4" w:name="3"/>
            <w:bookmarkEnd w:id="3"/>
            <w:bookmarkEnd w:id="4"/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Инструктаж по Т.Б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форма и обувь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высоты подскока, см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30;25;20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25;20;15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прыжка в длину с места, см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179; 178-135; 134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164; 163-125; 124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передачи мяча двумя руками от груди за 30 сек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 25; 20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25; 20; 15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ведения мяча змейкой с последующим броском в корзину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6;9;12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8;11;14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броска мяча в корзину с двух шагов из 5 бросков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4;3;2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4;3;2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броска мяча в корзину с 2 метров одной или двумя руками из 5 бросков</w:t>
            </w: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4;3;2</w:t>
            </w: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4;3;2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01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1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011B" w:rsidRPr="00AC011B" w:rsidTr="00AC011B">
        <w:tc>
          <w:tcPr>
            <w:tcW w:w="379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dxa"/>
          </w:tcPr>
          <w:p w:rsidR="00AC011B" w:rsidRPr="00AC011B" w:rsidRDefault="00AC011B" w:rsidP="00AC01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Бонусы:</w:t>
      </w: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доклады, рефераты, выступления на тему «Баскетбол» до 5 баллов.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Участие в контрольной игре: победители – 5 балла, проигравшие- 4 балла                            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школьных соревнованиях по баскетболу – 5 балла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Участие в выездных товарищеских матчах по баскетболу – 5 баллов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Штрафы:</w:t>
      </w: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отсутствие спортивной формы – 2б; нарушение дисциплины- 2б; несоблюдение правила техники безопасности- 10б.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Результатом проделанной работы является: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рейтинга вида спорта «Баскетбол»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повышение интереса к занятиям физической культурой и спортом;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 увеличение количества обучающихся, посещающих спортивные кружки и секции;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достижения, обучающихся во внешкольных спортивных соревнованиях;  </w:t>
      </w:r>
    </w:p>
    <w:p w:rsidR="00AC011B" w:rsidRPr="00AC011B" w:rsidRDefault="00AC011B" w:rsidP="00AC01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Calibri" w:hAnsi="Times New Roman" w:cs="Times New Roman"/>
          <w:sz w:val="24"/>
          <w:szCs w:val="24"/>
          <w:lang w:eastAsia="ru-RU"/>
        </w:rPr>
        <w:t>- повышение уровня физической, технико-тактической подготовленности обучающихся;</w:t>
      </w:r>
    </w:p>
    <w:p w:rsidR="00AC011B" w:rsidRDefault="00AC011B" w:rsidP="00AC0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01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показала, что контрольно-оценочная система на основе фиксации индивидуального прогресса, обучающегося позволяет учителю учесть динамику учебных достижений школьников, а ученику – творчески подойти к проектированию своей оценки по предмету, используя как требования образовательного стандарта, так и систему альтернативного накопления (бонусов).</w:t>
      </w:r>
    </w:p>
    <w:p w:rsidR="00AC011B" w:rsidRPr="00AC011B" w:rsidRDefault="00AC011B" w:rsidP="00AC0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011B" w:rsidRPr="00AC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4A"/>
    <w:rsid w:val="00144861"/>
    <w:rsid w:val="00AC011B"/>
    <w:rsid w:val="00EB7E4A"/>
    <w:rsid w:val="00F8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87D218-699E-4D3F-8376-476565B4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0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1579</Words>
  <Characters>9002</Characters>
  <Application>Microsoft Office Word</Application>
  <DocSecurity>0</DocSecurity>
  <Lines>75</Lines>
  <Paragraphs>21</Paragraphs>
  <ScaleCrop>false</ScaleCrop>
  <Company>*</Company>
  <LinksUpToDate>false</LinksUpToDate>
  <CharactersWithSpaces>10560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2014-10-29T14:44:00Z</dcterms:created>
  <dcterms:modified xsi:type="dcterms:W3CDTF">2014-11-01T10:29:00Z</dcterms:modified>
</cp:coreProperties>
</file>